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12"/>
        <w:gridCol w:w="255"/>
        <w:gridCol w:w="2155"/>
        <w:gridCol w:w="397"/>
        <w:gridCol w:w="397"/>
        <w:gridCol w:w="453"/>
      </w:tblGrid>
      <w:tr w:rsidR="006D00DF" w:rsidRPr="00E378CE" w14:paraId="1DEDA065" w14:textId="77777777" w:rsidTr="00887DD6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34FE4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378CE">
              <w:rPr>
                <w:rFonts w:eastAsia="Times New Roman" w:cs="Times New Roman"/>
                <w:sz w:val="18"/>
                <w:szCs w:val="18"/>
                <w:lang w:eastAsia="ru-RU"/>
              </w:rPr>
              <w:t>Допущены к торгам на</w:t>
            </w:r>
          </w:p>
          <w:p w14:paraId="6E8CCD18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78CE">
              <w:rPr>
                <w:rFonts w:eastAsia="Times New Roman" w:cs="Times New Roman"/>
                <w:sz w:val="18"/>
                <w:szCs w:val="18"/>
                <w:lang w:eastAsia="ru-RU"/>
              </w:rPr>
              <w:t>бирже в процессе размещения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507E2" w14:textId="6D82F14E" w:rsidR="006D00DF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C2DD0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64DB1" w14:textId="57C6A5F7" w:rsidR="006D00DF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F63EE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378CE">
              <w:rPr>
                <w:rFonts w:eastAsia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97934" w14:textId="37EFAD5C" w:rsidR="006D00DF" w:rsidRPr="00A84337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B8E44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378CE">
              <w:rPr>
                <w:rFonts w:eastAsia="Times New Roman" w:cs="Times New Roman"/>
                <w:szCs w:val="20"/>
                <w:lang w:eastAsia="ru-RU"/>
              </w:rPr>
              <w:t>г.</w:t>
            </w:r>
          </w:p>
        </w:tc>
      </w:tr>
    </w:tbl>
    <w:p w14:paraId="402F066D" w14:textId="77777777" w:rsidR="006D00DF" w:rsidRPr="00E378CE" w:rsidRDefault="006D00DF" w:rsidP="006D00DF">
      <w:pPr>
        <w:autoSpaceDE w:val="0"/>
        <w:autoSpaceDN w:val="0"/>
        <w:jc w:val="right"/>
        <w:rPr>
          <w:rFonts w:eastAsia="Times New Roman" w:cs="Times New Roman"/>
          <w:sz w:val="18"/>
          <w:szCs w:val="20"/>
          <w:lang w:eastAsia="ru-RU"/>
        </w:rPr>
      </w:pPr>
    </w:p>
    <w:p w14:paraId="6716653A" w14:textId="77777777" w:rsidR="006D00DF" w:rsidRPr="00E378CE" w:rsidRDefault="006D00DF" w:rsidP="006D00DF">
      <w:pPr>
        <w:autoSpaceDE w:val="0"/>
        <w:autoSpaceDN w:val="0"/>
        <w:jc w:val="right"/>
        <w:rPr>
          <w:rFonts w:eastAsia="Times New Roman" w:cs="Times New Roman"/>
          <w:sz w:val="18"/>
          <w:szCs w:val="20"/>
          <w:lang w:eastAsia="ru-RU"/>
        </w:rPr>
      </w:pPr>
      <w:r w:rsidRPr="00E378CE">
        <w:rPr>
          <w:rFonts w:eastAsia="Times New Roman" w:cs="Times New Roman"/>
          <w:sz w:val="18"/>
          <w:szCs w:val="18"/>
          <w:lang w:eastAsia="ru-RU"/>
        </w:rPr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5"/>
        <w:gridCol w:w="393"/>
        <w:gridCol w:w="393"/>
        <w:gridCol w:w="369"/>
        <w:gridCol w:w="369"/>
        <w:gridCol w:w="369"/>
      </w:tblGrid>
      <w:tr w:rsidR="00A84337" w:rsidRPr="00E378CE" w14:paraId="6024D2E4" w14:textId="77777777" w:rsidTr="00837F11">
        <w:trPr>
          <w:trHeight w:val="340"/>
          <w:jc w:val="right"/>
        </w:trPr>
        <w:tc>
          <w:tcPr>
            <w:tcW w:w="369" w:type="dxa"/>
            <w:vAlign w:val="center"/>
          </w:tcPr>
          <w:p w14:paraId="613655E8" w14:textId="4EF8649A" w:rsidR="00A84337" w:rsidRPr="00A84337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4</w:t>
            </w:r>
          </w:p>
        </w:tc>
        <w:tc>
          <w:tcPr>
            <w:tcW w:w="369" w:type="dxa"/>
            <w:vAlign w:val="center"/>
          </w:tcPr>
          <w:p w14:paraId="7C8A9E70" w14:textId="2886776D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B</w:t>
            </w:r>
          </w:p>
        </w:tc>
        <w:tc>
          <w:tcPr>
            <w:tcW w:w="369" w:type="dxa"/>
            <w:vAlign w:val="center"/>
          </w:tcPr>
          <w:p w14:paraId="6CED23DF" w14:textId="00AFB73A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369" w:type="dxa"/>
            <w:vAlign w:val="center"/>
          </w:tcPr>
          <w:p w14:paraId="60862582" w14:textId="2D77468B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2</w:t>
            </w:r>
          </w:p>
        </w:tc>
        <w:tc>
          <w:tcPr>
            <w:tcW w:w="340" w:type="dxa"/>
            <w:vAlign w:val="center"/>
          </w:tcPr>
          <w:p w14:paraId="1559E40A" w14:textId="13A971BE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369" w:type="dxa"/>
            <w:vAlign w:val="center"/>
          </w:tcPr>
          <w:p w14:paraId="348E181E" w14:textId="10D4E99F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369" w:type="dxa"/>
            <w:vAlign w:val="center"/>
          </w:tcPr>
          <w:p w14:paraId="4A40117D" w14:textId="5912D4AF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369" w:type="dxa"/>
            <w:vAlign w:val="center"/>
          </w:tcPr>
          <w:p w14:paraId="16EBB30B" w14:textId="2E401114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369" w:type="dxa"/>
            <w:vAlign w:val="center"/>
          </w:tcPr>
          <w:p w14:paraId="6B405D2C" w14:textId="1A61948A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369" w:type="dxa"/>
            <w:vAlign w:val="center"/>
          </w:tcPr>
          <w:p w14:paraId="1F435952" w14:textId="34619ED2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369" w:type="dxa"/>
            <w:vAlign w:val="center"/>
          </w:tcPr>
          <w:p w14:paraId="75C66DD6" w14:textId="1AA9FDBA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4</w:t>
            </w:r>
          </w:p>
        </w:tc>
        <w:tc>
          <w:tcPr>
            <w:tcW w:w="369" w:type="dxa"/>
            <w:vAlign w:val="center"/>
          </w:tcPr>
          <w:p w14:paraId="58709CC8" w14:textId="528A4860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369" w:type="dxa"/>
            <w:vAlign w:val="center"/>
          </w:tcPr>
          <w:p w14:paraId="733B902D" w14:textId="78ACF529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7</w:t>
            </w:r>
          </w:p>
        </w:tc>
        <w:tc>
          <w:tcPr>
            <w:tcW w:w="369" w:type="dxa"/>
            <w:vAlign w:val="center"/>
          </w:tcPr>
          <w:p w14:paraId="4F170149" w14:textId="3D51F8DE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345" w:type="dxa"/>
            <w:vAlign w:val="center"/>
          </w:tcPr>
          <w:p w14:paraId="40993FEF" w14:textId="6C85DAAD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R</w:t>
            </w:r>
          </w:p>
        </w:tc>
        <w:tc>
          <w:tcPr>
            <w:tcW w:w="393" w:type="dxa"/>
          </w:tcPr>
          <w:p w14:paraId="791A123E" w14:textId="403D2D0A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393" w:type="dxa"/>
            <w:vAlign w:val="center"/>
          </w:tcPr>
          <w:p w14:paraId="52369BAD" w14:textId="57984F82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369" w:type="dxa"/>
            <w:vAlign w:val="center"/>
          </w:tcPr>
          <w:p w14:paraId="13FF0C40" w14:textId="38F594A5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369" w:type="dxa"/>
            <w:vAlign w:val="center"/>
          </w:tcPr>
          <w:p w14:paraId="3A85A2E8" w14:textId="3A5674CE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369" w:type="dxa"/>
            <w:vAlign w:val="center"/>
          </w:tcPr>
          <w:p w14:paraId="33C765D7" w14:textId="3E1A4FC6" w:rsidR="00A84337" w:rsidRPr="00E378CE" w:rsidRDefault="00A84337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P</w:t>
            </w:r>
          </w:p>
        </w:tc>
      </w:tr>
    </w:tbl>
    <w:p w14:paraId="7FBB5ABA" w14:textId="77777777" w:rsidR="006D00DF" w:rsidRPr="00E378CE" w:rsidRDefault="006D00DF" w:rsidP="006D00DF">
      <w:pPr>
        <w:autoSpaceDE w:val="0"/>
        <w:autoSpaceDN w:val="0"/>
        <w:ind w:left="3714"/>
        <w:jc w:val="center"/>
        <w:rPr>
          <w:rFonts w:eastAsia="Times New Roman" w:cs="Times New Roman"/>
          <w:b/>
          <w:szCs w:val="20"/>
          <w:lang w:eastAsia="ru-RU"/>
        </w:rPr>
      </w:pPr>
    </w:p>
    <w:p w14:paraId="519492F9" w14:textId="77777777" w:rsidR="006D00DF" w:rsidRPr="00E378CE" w:rsidRDefault="006D00DF" w:rsidP="006D00DF">
      <w:pPr>
        <w:autoSpaceDE w:val="0"/>
        <w:autoSpaceDN w:val="0"/>
        <w:ind w:left="3714"/>
        <w:jc w:val="center"/>
        <w:rPr>
          <w:rFonts w:eastAsia="Times New Roman" w:cs="Times New Roman"/>
          <w:b/>
          <w:szCs w:val="20"/>
          <w:lang w:eastAsia="ru-RU"/>
        </w:rPr>
      </w:pPr>
      <w:r w:rsidRPr="00E378CE">
        <w:rPr>
          <w:rFonts w:eastAsia="Times New Roman" w:cs="Times New Roman"/>
          <w:b/>
          <w:szCs w:val="20"/>
          <w:lang w:eastAsia="ru-RU"/>
        </w:rPr>
        <w:t>ПАО Московская Биржа</w:t>
      </w:r>
    </w:p>
    <w:p w14:paraId="4BD7289B" w14:textId="77777777" w:rsidR="006D00DF" w:rsidRPr="00E378CE" w:rsidRDefault="006D00DF" w:rsidP="006D00DF">
      <w:pPr>
        <w:pBdr>
          <w:top w:val="single" w:sz="4" w:space="1" w:color="auto"/>
        </w:pBdr>
        <w:autoSpaceDE w:val="0"/>
        <w:autoSpaceDN w:val="0"/>
        <w:ind w:left="3714" w:right="-2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378CE">
        <w:rPr>
          <w:rFonts w:eastAsia="Times New Roman" w:cs="Times New Roman"/>
          <w:szCs w:val="20"/>
          <w:lang w:eastAsia="ru-RU"/>
        </w:rPr>
        <w:t>(</w:t>
      </w:r>
      <w:r w:rsidRPr="00E378CE">
        <w:rPr>
          <w:rFonts w:eastAsia="Times New Roman" w:cs="Times New Roman"/>
          <w:sz w:val="18"/>
          <w:szCs w:val="18"/>
          <w:lang w:eastAsia="ru-RU"/>
        </w:rPr>
        <w:t>наименование биржи, допустившей биржевые облигации к торгам в процессе их размещения)</w:t>
      </w:r>
    </w:p>
    <w:p w14:paraId="183DAD75" w14:textId="77777777" w:rsidR="006D00DF" w:rsidRPr="00E378CE" w:rsidRDefault="006D00DF" w:rsidP="006D00DF">
      <w:pPr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</w:p>
    <w:p w14:paraId="1134319B" w14:textId="77777777" w:rsidR="006D00DF" w:rsidRPr="00E378CE" w:rsidRDefault="006D00DF" w:rsidP="006D00DF">
      <w:pPr>
        <w:pBdr>
          <w:top w:val="single" w:sz="4" w:space="1" w:color="auto"/>
        </w:pBdr>
        <w:autoSpaceDE w:val="0"/>
        <w:autoSpaceDN w:val="0"/>
        <w:ind w:left="3714" w:right="-2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378CE">
        <w:rPr>
          <w:rFonts w:eastAsia="Times New Roman" w:cs="Times New Roman"/>
          <w:szCs w:val="20"/>
          <w:lang w:eastAsia="ru-RU"/>
        </w:rPr>
        <w:t>(</w:t>
      </w:r>
      <w:r w:rsidRPr="00E378CE">
        <w:rPr>
          <w:rFonts w:eastAsia="Times New Roman" w:cs="Times New Roman"/>
          <w:sz w:val="18"/>
          <w:szCs w:val="18"/>
          <w:lang w:eastAsia="ru-RU"/>
        </w:rPr>
        <w:t>подпись уполномоченного лица биржи, допустившей биржевые облигации к торгам в процессе их размещения</w:t>
      </w:r>
      <w:r w:rsidRPr="00E378CE">
        <w:rPr>
          <w:rFonts w:eastAsia="Times New Roman" w:cs="Times New Roman"/>
          <w:szCs w:val="20"/>
          <w:lang w:eastAsia="ru-RU"/>
        </w:rPr>
        <w:t>)</w:t>
      </w:r>
      <w:r w:rsidRPr="00E378CE">
        <w:rPr>
          <w:rFonts w:eastAsia="Times New Roman" w:cs="Times New Roman"/>
          <w:szCs w:val="20"/>
          <w:lang w:eastAsia="ru-RU"/>
        </w:rPr>
        <w:br/>
      </w:r>
      <w:r w:rsidRPr="00E378CE">
        <w:rPr>
          <w:rFonts w:eastAsia="Times New Roman" w:cs="Times New Roman"/>
          <w:sz w:val="18"/>
          <w:szCs w:val="18"/>
          <w:lang w:eastAsia="ru-RU"/>
        </w:rPr>
        <w:t>(печать)</w:t>
      </w:r>
    </w:p>
    <w:p w14:paraId="23ACA52B" w14:textId="260713AD" w:rsidR="00CB6F54" w:rsidRPr="00E378CE" w:rsidRDefault="00CB6F54" w:rsidP="006D00DF">
      <w:pPr>
        <w:autoSpaceDE w:val="0"/>
        <w:autoSpaceDN w:val="0"/>
        <w:spacing w:before="48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788AAB83" w14:textId="48E926C0" w:rsidR="00CB6F54" w:rsidRPr="00E378CE" w:rsidRDefault="00CB6F54" w:rsidP="006D00DF">
      <w:pPr>
        <w:autoSpaceDE w:val="0"/>
        <w:autoSpaceDN w:val="0"/>
        <w:spacing w:before="48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3806187" w14:textId="77777777" w:rsidR="00CB6F54" w:rsidRPr="00E378CE" w:rsidRDefault="00CB6F54" w:rsidP="006D00DF">
      <w:pPr>
        <w:autoSpaceDE w:val="0"/>
        <w:autoSpaceDN w:val="0"/>
        <w:spacing w:before="48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1A5FC175" w14:textId="314E4B54" w:rsidR="006D00DF" w:rsidRPr="00E378CE" w:rsidRDefault="006D00DF" w:rsidP="006D00DF">
      <w:pPr>
        <w:autoSpaceDE w:val="0"/>
        <w:autoSpaceDN w:val="0"/>
        <w:spacing w:before="48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78CE">
        <w:rPr>
          <w:rFonts w:eastAsia="Times New Roman" w:cs="Times New Roman"/>
          <w:b/>
          <w:sz w:val="28"/>
          <w:szCs w:val="28"/>
          <w:lang w:eastAsia="ru-RU"/>
        </w:rPr>
        <w:t xml:space="preserve">УСЛОВИЯ ВЫПУСКА </w:t>
      </w:r>
    </w:p>
    <w:p w14:paraId="668D572E" w14:textId="77777777" w:rsidR="006D00DF" w:rsidRPr="00E378CE" w:rsidRDefault="006D00DF" w:rsidP="006D00DF">
      <w:pPr>
        <w:autoSpaceDE w:val="0"/>
        <w:autoSpaceDN w:val="0"/>
        <w:spacing w:before="48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78CE">
        <w:rPr>
          <w:rFonts w:eastAsia="Times New Roman" w:cs="Times New Roman"/>
          <w:b/>
          <w:sz w:val="28"/>
          <w:szCs w:val="28"/>
          <w:lang w:eastAsia="ru-RU"/>
        </w:rPr>
        <w:t xml:space="preserve">БИРЖЕВЫХ ОБЛИГАЦИЙ </w:t>
      </w:r>
    </w:p>
    <w:p w14:paraId="575669F5" w14:textId="77777777" w:rsidR="006D00DF" w:rsidRPr="00E378CE" w:rsidRDefault="006D00DF" w:rsidP="006D00DF">
      <w:pPr>
        <w:autoSpaceDE w:val="0"/>
        <w:autoSpaceDN w:val="0"/>
        <w:spacing w:before="480"/>
        <w:contextualSpacing/>
        <w:jc w:val="center"/>
        <w:rPr>
          <w:rFonts w:eastAsia="Times New Roman" w:cs="Times New Roman"/>
          <w:b/>
          <w:bCs/>
          <w:lang w:eastAsia="ru-RU"/>
        </w:rPr>
      </w:pPr>
      <w:r w:rsidRPr="00E378CE">
        <w:rPr>
          <w:rFonts w:eastAsia="Times New Roman" w:cs="Times New Roman"/>
          <w:b/>
          <w:sz w:val="28"/>
          <w:szCs w:val="28"/>
          <w:lang w:eastAsia="ru-RU"/>
        </w:rPr>
        <w:t>В РАМКАХ ПРОГРАММЫ БИРЖЕВЫХ ОБЛИГАЦИЙ</w:t>
      </w:r>
      <w:r w:rsidRPr="00E378CE">
        <w:rPr>
          <w:rFonts w:eastAsia="Times New Roman" w:cs="Times New Roman"/>
          <w:b/>
          <w:sz w:val="28"/>
          <w:szCs w:val="28"/>
          <w:lang w:eastAsia="ru-RU"/>
        </w:rPr>
        <w:br/>
      </w:r>
    </w:p>
    <w:p w14:paraId="292BCB93" w14:textId="0837C0C6" w:rsidR="006D00DF" w:rsidRPr="00E378CE" w:rsidRDefault="006D00DF" w:rsidP="006D00DF">
      <w:pPr>
        <w:autoSpaceDE w:val="0"/>
        <w:autoSpaceDN w:val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378CE">
        <w:rPr>
          <w:rFonts w:eastAsia="Times New Roman" w:cs="Times New Roman"/>
          <w:b/>
          <w:i/>
          <w:sz w:val="28"/>
          <w:szCs w:val="28"/>
          <w:lang w:eastAsia="ru-RU"/>
        </w:rPr>
        <w:t>Общество с ограниченной ответственностью</w:t>
      </w:r>
      <w:r w:rsidR="00CB6F54" w:rsidRPr="00E378CE">
        <w:rPr>
          <w:rFonts w:eastAsia="Times New Roman" w:cs="Times New Roman"/>
          <w:b/>
          <w:i/>
          <w:sz w:val="28"/>
          <w:szCs w:val="28"/>
          <w:lang w:eastAsia="ru-RU"/>
        </w:rPr>
        <w:t xml:space="preserve"> «Торговое предприятие «Кировский»</w:t>
      </w:r>
    </w:p>
    <w:p w14:paraId="3E52BFC3" w14:textId="6653462C" w:rsidR="006D00DF" w:rsidRPr="00E378CE" w:rsidRDefault="00CB6F54" w:rsidP="006D00DF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378CE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6D00DF" w:rsidRPr="00E378CE">
        <w:rPr>
          <w:rFonts w:eastAsia="Times New Roman" w:cs="Times New Roman"/>
          <w:sz w:val="18"/>
          <w:szCs w:val="18"/>
          <w:lang w:eastAsia="ru-RU"/>
        </w:rPr>
        <w:t>(полное наименование эмитента)</w:t>
      </w:r>
    </w:p>
    <w:p w14:paraId="079363A0" w14:textId="77777777" w:rsidR="006D00DF" w:rsidRPr="00E378CE" w:rsidRDefault="006D00DF" w:rsidP="006D00DF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3C61A50D" w14:textId="736185C9" w:rsidR="006D00DF" w:rsidRPr="00E378CE" w:rsidRDefault="006D00DF" w:rsidP="006D00DF">
      <w:pPr>
        <w:pBdr>
          <w:top w:val="single" w:sz="4" w:space="1" w:color="auto"/>
        </w:pBdr>
        <w:autoSpaceDE w:val="0"/>
        <w:autoSpaceDN w:val="0"/>
        <w:contextualSpacing/>
        <w:jc w:val="both"/>
        <w:rPr>
          <w:rFonts w:eastAsia="Times New Roman" w:cs="Times New Roman"/>
          <w:b/>
          <w:bCs/>
          <w:i/>
          <w:iCs/>
          <w:lang w:eastAsia="ru-RU"/>
        </w:rPr>
      </w:pPr>
      <w:r w:rsidRPr="00E378CE">
        <w:rPr>
          <w:rFonts w:eastAsia="Times New Roman" w:cs="Times New Roman"/>
          <w:b/>
          <w:bCs/>
          <w:i/>
          <w:iCs/>
          <w:lang w:eastAsia="ru-RU"/>
        </w:rPr>
        <w:t xml:space="preserve">биржевые облигации документарные процентные неконвертируемые на предъявителя с обязательным централизованным хранением серии 001P-01R в количестве </w:t>
      </w:r>
      <w:r w:rsidR="00AA04EE" w:rsidRPr="00E378CE">
        <w:rPr>
          <w:rFonts w:eastAsia="Times New Roman" w:cs="Times New Roman"/>
          <w:b/>
          <w:bCs/>
          <w:i/>
          <w:iCs/>
          <w:lang w:eastAsia="ru-RU"/>
        </w:rPr>
        <w:t>1 200 000 (Один миллион</w:t>
      </w:r>
      <w:r w:rsidR="00CB6F54" w:rsidRPr="00E378CE">
        <w:rPr>
          <w:rFonts w:eastAsia="Times New Roman" w:cs="Times New Roman"/>
          <w:b/>
          <w:bCs/>
          <w:i/>
          <w:iCs/>
          <w:lang w:eastAsia="ru-RU"/>
        </w:rPr>
        <w:t xml:space="preserve"> двести тысяч)</w:t>
      </w:r>
      <w:r w:rsidRPr="00E378CE">
        <w:rPr>
          <w:rFonts w:eastAsia="Times New Roman" w:cs="Times New Roman"/>
          <w:b/>
          <w:bCs/>
          <w:i/>
          <w:iCs/>
          <w:lang w:eastAsia="ru-RU"/>
        </w:rPr>
        <w:t xml:space="preserve"> штук, номинальной стоимостью 1 000 (Одна тысяча) рублей каждая, со сроком погашения в </w:t>
      </w:r>
      <w:r w:rsidR="00CB6F54" w:rsidRPr="00E378CE">
        <w:rPr>
          <w:rFonts w:eastAsia="Times New Roman" w:cs="Times New Roman"/>
          <w:b/>
          <w:bCs/>
          <w:i/>
          <w:iCs/>
          <w:lang w:eastAsia="ru-RU"/>
        </w:rPr>
        <w:t>3 640 (Три тысячи шестьсот сороковой)</w:t>
      </w:r>
      <w:r w:rsidRPr="00E378CE">
        <w:rPr>
          <w:rFonts w:eastAsia="Times New Roman" w:cs="Times New Roman"/>
          <w:b/>
          <w:bCs/>
          <w:i/>
          <w:iCs/>
          <w:lang w:eastAsia="ru-RU"/>
        </w:rPr>
        <w:t xml:space="preserve"> день с даты начала размещения биржевых облигаций, размещаемые по открытой подписке</w:t>
      </w:r>
    </w:p>
    <w:p w14:paraId="0905B8D8" w14:textId="77777777" w:rsidR="006D00DF" w:rsidRPr="00E378CE" w:rsidRDefault="006D00DF" w:rsidP="006D00DF">
      <w:pPr>
        <w:pBdr>
          <w:top w:val="single" w:sz="4" w:space="1" w:color="auto"/>
        </w:pBdr>
        <w:autoSpaceDE w:val="0"/>
        <w:autoSpaceDN w:val="0"/>
        <w:contextualSpacing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14:paraId="3B90F722" w14:textId="60D114D0" w:rsidR="006D00DF" w:rsidRPr="00E378CE" w:rsidRDefault="00CB6F54" w:rsidP="006D00DF">
      <w:pPr>
        <w:tabs>
          <w:tab w:val="right" w:pos="9923"/>
        </w:tabs>
        <w:autoSpaceDE w:val="0"/>
        <w:autoSpaceDN w:val="0"/>
        <w:contextualSpacing/>
        <w:jc w:val="both"/>
        <w:rPr>
          <w:rFonts w:eastAsia="Times New Roman" w:cs="Times New Roman"/>
          <w:b/>
          <w:i/>
          <w:lang w:eastAsia="ru-RU"/>
        </w:rPr>
      </w:pPr>
      <w:r w:rsidRPr="00E378CE">
        <w:rPr>
          <w:rFonts w:eastAsia="Times New Roman" w:cs="Times New Roman"/>
          <w:b/>
          <w:i/>
          <w:lang w:eastAsia="ru-RU"/>
        </w:rPr>
        <w:t>Программа биржевых облигаций серии 001Р, в рамках которой по открытой подписке могут быть размещены биржевые облигации документарные процентные неконвертируемые на предъявителя с обязательным централизованным хранением.</w:t>
      </w:r>
    </w:p>
    <w:p w14:paraId="4365A3D3" w14:textId="6B9F998B" w:rsidR="006D00DF" w:rsidRPr="00E378CE" w:rsidRDefault="006D00DF" w:rsidP="006D00DF">
      <w:pPr>
        <w:tabs>
          <w:tab w:val="right" w:pos="9923"/>
        </w:tabs>
        <w:autoSpaceDE w:val="0"/>
        <w:autoSpaceDN w:val="0"/>
        <w:contextualSpacing/>
        <w:jc w:val="both"/>
        <w:rPr>
          <w:rFonts w:eastAsia="Times New Roman" w:cs="Times New Roman"/>
          <w:b/>
          <w:i/>
          <w:lang w:eastAsia="ru-RU"/>
        </w:rPr>
      </w:pPr>
      <w:r w:rsidRPr="00E378CE">
        <w:rPr>
          <w:rFonts w:eastAsia="Times New Roman" w:cs="Times New Roman"/>
          <w:b/>
          <w:i/>
          <w:szCs w:val="20"/>
          <w:lang w:eastAsia="ru-RU"/>
        </w:rPr>
        <w:t xml:space="preserve">Срок действия Программы биржевых облигаций серии 001Р: </w:t>
      </w:r>
      <w:r w:rsidR="00CB6F54" w:rsidRPr="00E378CE">
        <w:rPr>
          <w:rFonts w:eastAsia="Times New Roman" w:cs="Times New Roman"/>
          <w:b/>
          <w:i/>
          <w:szCs w:val="20"/>
          <w:lang w:eastAsia="ru-RU"/>
        </w:rPr>
        <w:t>Бессрочно с даты присвоения идентификационного номера Программе биржевых облигаций серии 001Р</w:t>
      </w:r>
    </w:p>
    <w:p w14:paraId="2D4AB2A4" w14:textId="77777777" w:rsidR="006D00DF" w:rsidRPr="00E378CE" w:rsidRDefault="006D00DF" w:rsidP="006D00DF">
      <w:pPr>
        <w:pBdr>
          <w:top w:val="single" w:sz="4" w:space="2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E378CE">
        <w:rPr>
          <w:rFonts w:eastAsia="Times New Roman" w:cs="Times New Roman"/>
          <w:sz w:val="18"/>
          <w:szCs w:val="20"/>
          <w:lang w:eastAsia="ru-RU"/>
        </w:rPr>
        <w:t>(серия и иные идентификационные признаки программы облигаций)</w:t>
      </w:r>
    </w:p>
    <w:p w14:paraId="25B40104" w14:textId="4D6569F1" w:rsidR="006D00DF" w:rsidRPr="00E378CE" w:rsidRDefault="006D00DF" w:rsidP="006D00DF">
      <w:pPr>
        <w:tabs>
          <w:tab w:val="right" w:pos="9923"/>
        </w:tabs>
        <w:autoSpaceDE w:val="0"/>
        <w:autoSpaceDN w:val="0"/>
        <w:contextualSpacing/>
        <w:jc w:val="both"/>
        <w:rPr>
          <w:rFonts w:eastAsia="Times New Roman" w:cs="Times New Roman"/>
          <w:lang w:eastAsia="ru-RU"/>
        </w:rPr>
      </w:pPr>
      <w:r w:rsidRPr="00E378CE">
        <w:rPr>
          <w:rFonts w:eastAsia="Times New Roman" w:cs="Times New Roman"/>
          <w:b/>
          <w:bCs/>
          <w:i/>
          <w:iCs/>
          <w:lang w:eastAsia="ru-RU"/>
        </w:rPr>
        <w:t xml:space="preserve">идентификационный номер </w:t>
      </w:r>
      <w:r w:rsidR="005F4645" w:rsidRPr="00E378CE">
        <w:rPr>
          <w:rFonts w:eastAsia="Times New Roman" w:cs="Times New Roman"/>
          <w:b/>
          <w:bCs/>
          <w:i/>
          <w:iCs/>
          <w:lang w:eastAsia="ru-RU"/>
        </w:rPr>
        <w:t>4-00407-R-001P-02E от 24.07.2019</w:t>
      </w:r>
    </w:p>
    <w:p w14:paraId="0597BC37" w14:textId="77777777" w:rsidR="006D00DF" w:rsidRPr="00E378CE" w:rsidRDefault="006D00DF" w:rsidP="006D00DF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E378CE">
        <w:rPr>
          <w:rFonts w:eastAsia="Times New Roman" w:cs="Times New Roman"/>
          <w:sz w:val="18"/>
          <w:szCs w:val="20"/>
          <w:lang w:eastAsia="ru-RU"/>
        </w:rPr>
        <w:t>(указываются дата присвоения и идентификационный номер,</w:t>
      </w:r>
      <w:r w:rsidRPr="00E378CE">
        <w:rPr>
          <w:rFonts w:eastAsia="Times New Roman" w:cs="Times New Roman"/>
          <w:sz w:val="18"/>
          <w:szCs w:val="20"/>
          <w:lang w:eastAsia="ru-RU"/>
        </w:rPr>
        <w:br/>
        <w:t>присвоенный программе облигаций)</w:t>
      </w:r>
    </w:p>
    <w:p w14:paraId="291C4194" w14:textId="77777777" w:rsidR="006D00DF" w:rsidRPr="00E378CE" w:rsidRDefault="006D00DF" w:rsidP="006D00DF">
      <w:pPr>
        <w:tabs>
          <w:tab w:val="right" w:pos="9923"/>
        </w:tabs>
        <w:autoSpaceDE w:val="0"/>
        <w:autoSpaceDN w:val="0"/>
        <w:contextualSpacing/>
        <w:rPr>
          <w:rFonts w:eastAsia="Times New Roman" w:cs="Times New Roman"/>
          <w:lang w:eastAsia="ru-RU"/>
        </w:rPr>
      </w:pPr>
    </w:p>
    <w:p w14:paraId="3C0C9C10" w14:textId="03904F7C" w:rsidR="006D00DF" w:rsidRPr="00E378CE" w:rsidRDefault="006D00DF" w:rsidP="006D00DF">
      <w:pPr>
        <w:tabs>
          <w:tab w:val="right" w:pos="9923"/>
        </w:tabs>
        <w:autoSpaceDE w:val="0"/>
        <w:autoSpaceDN w:val="0"/>
        <w:contextualSpacing/>
        <w:jc w:val="both"/>
        <w:rPr>
          <w:rFonts w:eastAsia="Times New Roman" w:cs="Times New Roman"/>
          <w:lang w:eastAsia="ru-RU"/>
        </w:rPr>
      </w:pPr>
      <w:r w:rsidRPr="00E378CE">
        <w:rPr>
          <w:rFonts w:eastAsia="Times New Roman" w:cs="Times New Roman"/>
          <w:lang w:eastAsia="ru-RU"/>
        </w:rPr>
        <w:t xml:space="preserve">утверждены решением </w:t>
      </w:r>
      <w:r w:rsidR="00CB6F54" w:rsidRPr="00E378CE">
        <w:rPr>
          <w:rFonts w:eastAsia="Times New Roman" w:cs="Times New Roman"/>
          <w:b/>
          <w:i/>
          <w:lang w:eastAsia="ru-RU"/>
        </w:rPr>
        <w:t>д</w:t>
      </w:r>
      <w:r w:rsidRPr="00E378CE">
        <w:rPr>
          <w:rFonts w:eastAsia="Times New Roman" w:cs="Times New Roman"/>
          <w:b/>
          <w:i/>
          <w:lang w:eastAsia="ru-RU"/>
        </w:rPr>
        <w:t xml:space="preserve">иректора </w:t>
      </w:r>
      <w:r w:rsidR="00CB6F54" w:rsidRPr="00E378CE">
        <w:rPr>
          <w:rFonts w:eastAsia="Times New Roman" w:cs="Times New Roman"/>
          <w:b/>
          <w:i/>
          <w:lang w:eastAsia="ru-RU"/>
        </w:rPr>
        <w:t>ООО «Торговое предприятие «Кировский»</w:t>
      </w:r>
      <w:r w:rsidRPr="00E378CE">
        <w:rPr>
          <w:rFonts w:eastAsia="Times New Roman" w:cs="Times New Roman"/>
          <w:b/>
          <w:i/>
          <w:lang w:eastAsia="ru-RU"/>
        </w:rPr>
        <w:t xml:space="preserve"> об утверждении Условий выпуска биржевых облигаций</w:t>
      </w:r>
      <w:r w:rsidRPr="00E378CE">
        <w:rPr>
          <w:rFonts w:eastAsia="Times New Roman" w:cs="Times New Roman"/>
          <w:b/>
          <w:bCs/>
          <w:i/>
          <w:iCs/>
          <w:lang w:eastAsia="ru-RU"/>
        </w:rPr>
        <w:t xml:space="preserve"> серии 001P-01R</w:t>
      </w:r>
    </w:p>
    <w:p w14:paraId="4ACBEEB9" w14:textId="77777777" w:rsidR="006D00DF" w:rsidRPr="00E378CE" w:rsidRDefault="006D00DF" w:rsidP="006D00DF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E378CE">
        <w:rPr>
          <w:rFonts w:eastAsia="Times New Roman" w:cs="Times New Roman"/>
          <w:sz w:val="18"/>
          <w:szCs w:val="20"/>
          <w:lang w:eastAsia="ru-RU"/>
        </w:rPr>
        <w:t>(орган управления эмитента, утвердивший условия выпуска облигаций в рамках программы облигаций)</w:t>
      </w:r>
    </w:p>
    <w:p w14:paraId="0C92120A" w14:textId="77777777" w:rsidR="006D00DF" w:rsidRPr="00E378CE" w:rsidRDefault="006D00DF" w:rsidP="006D00DF">
      <w:pPr>
        <w:autoSpaceDE w:val="0"/>
        <w:autoSpaceDN w:val="0"/>
        <w:contextualSpacing/>
        <w:rPr>
          <w:rFonts w:eastAsia="Times New Roman" w:cs="Times New Roman"/>
          <w:lang w:eastAsia="ru-RU"/>
        </w:rPr>
      </w:pPr>
    </w:p>
    <w:p w14:paraId="5ACAD383" w14:textId="405BD52F" w:rsidR="006D00DF" w:rsidRPr="00E378CE" w:rsidRDefault="00DC68F5" w:rsidP="006D00DF">
      <w:pPr>
        <w:tabs>
          <w:tab w:val="left" w:pos="1287"/>
          <w:tab w:val="left" w:pos="1684"/>
          <w:tab w:val="left" w:pos="1911"/>
          <w:tab w:val="left" w:pos="3329"/>
          <w:tab w:val="left" w:pos="3726"/>
          <w:tab w:val="left" w:pos="4123"/>
          <w:tab w:val="left" w:pos="5595"/>
          <w:tab w:val="left" w:pos="5992"/>
          <w:tab w:val="left" w:pos="6219"/>
          <w:tab w:val="left" w:pos="7637"/>
          <w:tab w:val="left" w:pos="8034"/>
          <w:tab w:val="left" w:pos="8431"/>
        </w:tabs>
        <w:autoSpaceDE w:val="0"/>
        <w:autoSpaceDN w:val="0"/>
        <w:rPr>
          <w:rFonts w:eastAsia="Times New Roman" w:cs="Times New Roman"/>
          <w:lang w:eastAsia="ru-RU"/>
        </w:rPr>
      </w:pPr>
      <w:r w:rsidRPr="00E378CE">
        <w:rPr>
          <w:rFonts w:eastAsia="Times New Roman" w:cs="Times New Roman"/>
          <w:lang w:eastAsia="ru-RU"/>
        </w:rPr>
        <w:t>принятым “23” сентября 2019</w:t>
      </w:r>
      <w:r w:rsidR="006D00DF" w:rsidRPr="00E378CE">
        <w:rPr>
          <w:rFonts w:eastAsia="Times New Roman" w:cs="Times New Roman"/>
          <w:lang w:eastAsia="ru-RU"/>
        </w:rPr>
        <w:t xml:space="preserve"> г.</w:t>
      </w:r>
      <w:r w:rsidRPr="00E378CE">
        <w:rPr>
          <w:rFonts w:eastAsia="Times New Roman" w:cs="Times New Roman"/>
          <w:lang w:eastAsia="ru-RU"/>
        </w:rPr>
        <w:t>, приказ от “23” сентября 2019</w:t>
      </w:r>
      <w:r w:rsidR="006D00DF" w:rsidRPr="00E378CE">
        <w:rPr>
          <w:rFonts w:eastAsia="Times New Roman" w:cs="Times New Roman"/>
          <w:lang w:eastAsia="ru-RU"/>
        </w:rPr>
        <w:t xml:space="preserve"> </w:t>
      </w:r>
      <w:r w:rsidRPr="00E378CE">
        <w:rPr>
          <w:rFonts w:eastAsia="Times New Roman" w:cs="Times New Roman"/>
          <w:szCs w:val="20"/>
          <w:lang w:eastAsia="ru-RU"/>
        </w:rPr>
        <w:t>г. № 13</w:t>
      </w:r>
      <w:r w:rsidR="006D00DF" w:rsidRPr="00E378CE">
        <w:rPr>
          <w:rFonts w:eastAsia="Times New Roman" w:cs="Times New Roman"/>
          <w:szCs w:val="20"/>
          <w:lang w:eastAsia="ru-RU"/>
        </w:rPr>
        <w:t>,</w:t>
      </w:r>
    </w:p>
    <w:p w14:paraId="3221262D" w14:textId="77777777" w:rsidR="006D00DF" w:rsidRPr="00E378CE" w:rsidRDefault="006D00DF" w:rsidP="006D00DF">
      <w:pPr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p w14:paraId="3CC2612B" w14:textId="77777777" w:rsidR="006D00DF" w:rsidRPr="00E378CE" w:rsidRDefault="006D00DF" w:rsidP="006D00DF">
      <w:pPr>
        <w:autoSpaceDE w:val="0"/>
        <w:autoSpaceDN w:val="0"/>
        <w:jc w:val="both"/>
        <w:rPr>
          <w:rFonts w:eastAsia="Times New Roman" w:cs="Times New Roman"/>
          <w:sz w:val="18"/>
          <w:szCs w:val="20"/>
          <w:lang w:eastAsia="ru-RU"/>
        </w:rPr>
      </w:pPr>
      <w:r w:rsidRPr="00E378CE">
        <w:rPr>
          <w:rFonts w:eastAsia="Times New Roman" w:cs="Times New Roman"/>
          <w:lang w:eastAsia="ru-RU"/>
        </w:rPr>
        <w:t xml:space="preserve">на основании решения </w:t>
      </w:r>
      <w:r w:rsidRPr="00E378CE">
        <w:rPr>
          <w:rFonts w:eastAsia="Times New Roman" w:cs="Times New Roman"/>
          <w:b/>
          <w:i/>
          <w:lang w:eastAsia="ru-RU"/>
        </w:rPr>
        <w:t xml:space="preserve">об утверждении Программы биржевых облигаций серии 001Р </w:t>
      </w:r>
      <w:r w:rsidRPr="00E378CE">
        <w:rPr>
          <w:rFonts w:eastAsia="Times New Roman" w:cs="Times New Roman"/>
          <w:b/>
          <w:i/>
          <w:lang w:eastAsia="ru-RU"/>
        </w:rPr>
        <w:br/>
      </w:r>
      <w:r w:rsidRPr="00E378CE">
        <w:rPr>
          <w:rFonts w:eastAsia="Times New Roman" w:cs="Times New Roman"/>
          <w:sz w:val="18"/>
          <w:szCs w:val="20"/>
          <w:lang w:eastAsia="ru-RU"/>
        </w:rPr>
        <w:t>(указывается соответствующее решение об утверждении программы облигаций)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5585"/>
        <w:gridCol w:w="227"/>
        <w:gridCol w:w="397"/>
        <w:gridCol w:w="227"/>
        <w:gridCol w:w="1247"/>
        <w:gridCol w:w="397"/>
        <w:gridCol w:w="369"/>
        <w:gridCol w:w="311"/>
      </w:tblGrid>
      <w:tr w:rsidR="006D00DF" w:rsidRPr="00E378CE" w14:paraId="2F11C633" w14:textId="77777777" w:rsidTr="00887DD6">
        <w:tc>
          <w:tcPr>
            <w:tcW w:w="1191" w:type="dxa"/>
            <w:vAlign w:val="bottom"/>
          </w:tcPr>
          <w:p w14:paraId="081679C7" w14:textId="77777777" w:rsidR="006D00DF" w:rsidRPr="00E378CE" w:rsidRDefault="006D00DF" w:rsidP="006D00DF">
            <w:pPr>
              <w:keepNext/>
              <w:autoSpaceDE w:val="0"/>
              <w:autoSpaceDN w:val="0"/>
              <w:contextualSpacing/>
              <w:rPr>
                <w:rFonts w:eastAsia="Times New Roman" w:cs="Times New Roman"/>
                <w:lang w:eastAsia="ru-RU"/>
              </w:rPr>
            </w:pPr>
          </w:p>
          <w:p w14:paraId="614A81E3" w14:textId="77777777" w:rsidR="006D00DF" w:rsidRPr="00E378CE" w:rsidRDefault="006D00DF" w:rsidP="006D00DF">
            <w:pPr>
              <w:keepNext/>
              <w:autoSpaceDE w:val="0"/>
              <w:autoSpaceDN w:val="0"/>
              <w:contextualSpacing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принятого</w:t>
            </w:r>
          </w:p>
        </w:tc>
        <w:tc>
          <w:tcPr>
            <w:tcW w:w="5585" w:type="dxa"/>
            <w:vAlign w:val="bottom"/>
          </w:tcPr>
          <w:p w14:paraId="0265BCF5" w14:textId="163A6D4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378CE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 xml:space="preserve">Общим собранием участников </w:t>
            </w:r>
            <w:r w:rsidR="00CB6F54" w:rsidRPr="00E378CE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ООО «Торговое предприятие «Кировский»</w:t>
            </w:r>
          </w:p>
        </w:tc>
        <w:tc>
          <w:tcPr>
            <w:tcW w:w="227" w:type="dxa"/>
            <w:vAlign w:val="bottom"/>
          </w:tcPr>
          <w:p w14:paraId="140EAE2A" w14:textId="77777777" w:rsidR="006D00DF" w:rsidRPr="00E378CE" w:rsidRDefault="006D00DF" w:rsidP="006D00DF">
            <w:pPr>
              <w:keepNext/>
              <w:autoSpaceDE w:val="0"/>
              <w:autoSpaceDN w:val="0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vAlign w:val="bottom"/>
          </w:tcPr>
          <w:p w14:paraId="123C4CB7" w14:textId="61B61077" w:rsidR="006D00DF" w:rsidRPr="00E378CE" w:rsidRDefault="001E6653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378CE">
              <w:rPr>
                <w:rFonts w:eastAsia="Times New Roman" w:cs="Times New Roman"/>
                <w:lang w:val="en-US" w:eastAsia="ru-RU"/>
              </w:rPr>
              <w:t>29</w:t>
            </w:r>
          </w:p>
        </w:tc>
        <w:tc>
          <w:tcPr>
            <w:tcW w:w="227" w:type="dxa"/>
            <w:vAlign w:val="bottom"/>
          </w:tcPr>
          <w:p w14:paraId="2E57CF97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”</w:t>
            </w:r>
          </w:p>
        </w:tc>
        <w:tc>
          <w:tcPr>
            <w:tcW w:w="1247" w:type="dxa"/>
            <w:vAlign w:val="bottom"/>
          </w:tcPr>
          <w:p w14:paraId="79C395CA" w14:textId="13641438" w:rsidR="006D00DF" w:rsidRPr="00E378CE" w:rsidRDefault="001E6653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мая</w:t>
            </w:r>
          </w:p>
        </w:tc>
        <w:tc>
          <w:tcPr>
            <w:tcW w:w="397" w:type="dxa"/>
            <w:vAlign w:val="bottom"/>
          </w:tcPr>
          <w:p w14:paraId="5F566097" w14:textId="77777777" w:rsidR="006D00DF" w:rsidRPr="00E378CE" w:rsidRDefault="006D00DF" w:rsidP="006D00DF">
            <w:pPr>
              <w:keepNext/>
              <w:autoSpaceDE w:val="0"/>
              <w:autoSpaceDN w:val="0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vAlign w:val="bottom"/>
          </w:tcPr>
          <w:p w14:paraId="0FC46497" w14:textId="0C7ED240" w:rsidR="006D00DF" w:rsidRPr="00E378CE" w:rsidRDefault="001E6653" w:rsidP="006D00DF">
            <w:pPr>
              <w:keepNext/>
              <w:autoSpaceDE w:val="0"/>
              <w:autoSpaceDN w:val="0"/>
              <w:contextualSpacing/>
              <w:rPr>
                <w:rFonts w:eastAsia="Times New Roman" w:cs="Times New Roman"/>
                <w:lang w:val="en-US" w:eastAsia="ru-RU"/>
              </w:rPr>
            </w:pPr>
            <w:r w:rsidRPr="00E378CE">
              <w:rPr>
                <w:rFonts w:eastAsia="Times New Roman" w:cs="Times New Roman"/>
                <w:lang w:val="en-US" w:eastAsia="ru-RU"/>
              </w:rPr>
              <w:t>19</w:t>
            </w:r>
          </w:p>
        </w:tc>
        <w:tc>
          <w:tcPr>
            <w:tcW w:w="311" w:type="dxa"/>
            <w:vAlign w:val="bottom"/>
          </w:tcPr>
          <w:p w14:paraId="7C539F43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378CE">
              <w:rPr>
                <w:rFonts w:eastAsia="Times New Roman" w:cs="Times New Roman"/>
                <w:szCs w:val="20"/>
                <w:lang w:eastAsia="ru-RU"/>
              </w:rPr>
              <w:t>г.,</w:t>
            </w:r>
          </w:p>
        </w:tc>
      </w:tr>
    </w:tbl>
    <w:p w14:paraId="57ED6BEA" w14:textId="77777777" w:rsidR="006D00DF" w:rsidRPr="00E378CE" w:rsidRDefault="006D00DF" w:rsidP="006D00DF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E378CE">
        <w:rPr>
          <w:rFonts w:eastAsia="Times New Roman" w:cs="Times New Roman"/>
          <w:sz w:val="18"/>
          <w:szCs w:val="20"/>
          <w:lang w:eastAsia="ru-RU"/>
        </w:rPr>
        <w:t>(указывается орган управления эмитента, принявший решение об утверждении программы облигаций)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97"/>
        <w:gridCol w:w="227"/>
        <w:gridCol w:w="1247"/>
        <w:gridCol w:w="369"/>
        <w:gridCol w:w="369"/>
        <w:gridCol w:w="646"/>
        <w:gridCol w:w="1021"/>
        <w:gridCol w:w="284"/>
      </w:tblGrid>
      <w:tr w:rsidR="006D00DF" w:rsidRPr="00E378CE" w14:paraId="2728569B" w14:textId="77777777" w:rsidTr="00887DD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1E499" w14:textId="77777777" w:rsidR="006D00DF" w:rsidRPr="00E378CE" w:rsidRDefault="006D00DF" w:rsidP="006D00DF">
            <w:pPr>
              <w:autoSpaceDE w:val="0"/>
              <w:autoSpaceDN w:val="0"/>
              <w:contextualSpacing/>
              <w:rPr>
                <w:rFonts w:eastAsia="Times New Roman" w:cs="Times New Roman"/>
                <w:lang w:eastAsia="ru-RU"/>
              </w:rPr>
            </w:pPr>
          </w:p>
          <w:p w14:paraId="42BB8D56" w14:textId="77777777" w:rsidR="006D00DF" w:rsidRPr="00E378CE" w:rsidRDefault="006D00DF" w:rsidP="006D00DF">
            <w:pPr>
              <w:autoSpaceDE w:val="0"/>
              <w:autoSpaceDN w:val="0"/>
              <w:contextualSpacing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протокол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9E839" w14:textId="617FAD10" w:rsidR="006D00DF" w:rsidRPr="00E378CE" w:rsidRDefault="005F4645" w:rsidP="006D00DF">
            <w:pPr>
              <w:keepNext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E378CE">
              <w:rPr>
                <w:rFonts w:eastAsia="Times New Roman" w:cs="Times New Roman"/>
                <w:lang w:val="en-US" w:eastAsia="ru-RU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E8D3A" w14:textId="3B128D5D" w:rsidR="006D00DF" w:rsidRPr="00E378CE" w:rsidRDefault="006D00DF" w:rsidP="006D00DF">
            <w:pPr>
              <w:keepNext/>
              <w:autoSpaceDE w:val="0"/>
              <w:autoSpaceDN w:val="0"/>
              <w:contextualSpacing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CBE96" w14:textId="435E636F" w:rsidR="006D00DF" w:rsidRPr="00E378CE" w:rsidRDefault="005F4645" w:rsidP="006D00DF">
            <w:pPr>
              <w:keepNext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87C7F" w14:textId="77777777" w:rsidR="006D00DF" w:rsidRPr="00E378CE" w:rsidRDefault="006D00DF" w:rsidP="006D00DF">
            <w:pPr>
              <w:keepNext/>
              <w:autoSpaceDE w:val="0"/>
              <w:autoSpaceDN w:val="0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05A7" w14:textId="55056224" w:rsidR="006D00DF" w:rsidRPr="00E378CE" w:rsidRDefault="005F4645" w:rsidP="006D00DF">
            <w:pPr>
              <w:keepNext/>
              <w:autoSpaceDE w:val="0"/>
              <w:autoSpaceDN w:val="0"/>
              <w:contextualSpacing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EB8B4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378CE">
              <w:rPr>
                <w:rFonts w:eastAsia="Times New Roman" w:cs="Times New Roman"/>
                <w:szCs w:val="20"/>
                <w:lang w:eastAsia="ru-RU"/>
              </w:rPr>
              <w:t>г.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08D7D" w14:textId="0E977445" w:rsidR="006D00DF" w:rsidRPr="00E378CE" w:rsidRDefault="005F4645" w:rsidP="006D00DF">
            <w:pPr>
              <w:autoSpaceDE w:val="0"/>
              <w:autoSpaceDN w:val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09B72" w14:textId="77777777" w:rsidR="006D00DF" w:rsidRPr="00E378CE" w:rsidRDefault="006D00DF" w:rsidP="006D00DF">
            <w:pPr>
              <w:autoSpaceDE w:val="0"/>
              <w:autoSpaceDN w:val="0"/>
              <w:contextualSpacing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.</w:t>
            </w:r>
          </w:p>
        </w:tc>
      </w:tr>
    </w:tbl>
    <w:p w14:paraId="518F4B41" w14:textId="1E774FC0" w:rsidR="00CB6F54" w:rsidRPr="00E378CE" w:rsidRDefault="00CB6F54" w:rsidP="006D00DF">
      <w:pPr>
        <w:autoSpaceDE w:val="0"/>
        <w:autoSpaceDN w:val="0"/>
        <w:contextualSpacing/>
        <w:rPr>
          <w:rFonts w:eastAsia="Times New Roman" w:cs="Times New Roman"/>
          <w:szCs w:val="20"/>
          <w:lang w:val="en-US" w:eastAsia="ru-RU"/>
        </w:rPr>
      </w:pPr>
    </w:p>
    <w:p w14:paraId="623B4B2B" w14:textId="77777777" w:rsidR="00CB6F54" w:rsidRPr="00E378CE" w:rsidRDefault="00CB6F54">
      <w:pPr>
        <w:spacing w:after="200" w:line="276" w:lineRule="auto"/>
        <w:rPr>
          <w:rFonts w:eastAsia="Times New Roman" w:cs="Times New Roman"/>
          <w:szCs w:val="20"/>
          <w:lang w:val="en-US" w:eastAsia="ru-RU"/>
        </w:rPr>
      </w:pPr>
      <w:r w:rsidRPr="00E378CE">
        <w:rPr>
          <w:rFonts w:eastAsia="Times New Roman" w:cs="Times New Roman"/>
          <w:szCs w:val="20"/>
          <w:lang w:val="en-US" w:eastAsia="ru-RU"/>
        </w:rPr>
        <w:br w:type="page"/>
      </w:r>
    </w:p>
    <w:p w14:paraId="39196653" w14:textId="77777777" w:rsidR="006D00DF" w:rsidRPr="00E378CE" w:rsidRDefault="006D00DF" w:rsidP="006D00DF">
      <w:pPr>
        <w:autoSpaceDE w:val="0"/>
        <w:autoSpaceDN w:val="0"/>
        <w:contextualSpacing/>
        <w:rPr>
          <w:rFonts w:eastAsia="Times New Roman" w:cs="Times New Roman"/>
          <w:szCs w:val="20"/>
          <w:lang w:val="en-US" w:eastAsia="ru-RU"/>
        </w:rPr>
      </w:pPr>
    </w:p>
    <w:p w14:paraId="0146D961" w14:textId="77777777" w:rsidR="006D00DF" w:rsidRPr="00E378CE" w:rsidRDefault="006D00DF" w:rsidP="006D00DF">
      <w:pPr>
        <w:autoSpaceDE w:val="0"/>
        <w:autoSpaceDN w:val="0"/>
        <w:rPr>
          <w:rFonts w:eastAsia="Times New Roman" w:cs="Times New Roman"/>
          <w:szCs w:val="20"/>
          <w:lang w:eastAsia="ru-RU"/>
        </w:rPr>
      </w:pPr>
      <w:r w:rsidRPr="00E378CE">
        <w:rPr>
          <w:rFonts w:eastAsia="Times New Roman" w:cs="Times New Roman"/>
          <w:szCs w:val="20"/>
          <w:lang w:eastAsia="ru-RU"/>
        </w:rPr>
        <w:t>Место нахождения эмитента и контактные телефоны:</w:t>
      </w:r>
    </w:p>
    <w:p w14:paraId="19A0C4D1" w14:textId="77777777" w:rsidR="00CB6F54" w:rsidRPr="00E378CE" w:rsidRDefault="00CB6F54" w:rsidP="00CB6F54">
      <w:pPr>
        <w:rPr>
          <w:b/>
          <w:bCs/>
          <w:i/>
          <w:iCs/>
        </w:rPr>
      </w:pPr>
      <w:r w:rsidRPr="00E378CE">
        <w:rPr>
          <w:b/>
          <w:bCs/>
          <w:i/>
          <w:iCs/>
        </w:rPr>
        <w:t>Место нахождения: 620072, Россия, г. Екатеринбург, Сиреневый бульвар, 2</w:t>
      </w:r>
    </w:p>
    <w:p w14:paraId="47AB36DB" w14:textId="77777777" w:rsidR="00CB6F54" w:rsidRPr="00E378CE" w:rsidRDefault="00CB6F54" w:rsidP="00CB6F54">
      <w:pPr>
        <w:rPr>
          <w:b/>
          <w:bCs/>
          <w:i/>
          <w:iCs/>
        </w:rPr>
      </w:pPr>
      <w:r w:rsidRPr="00E378CE">
        <w:rPr>
          <w:b/>
          <w:bCs/>
          <w:i/>
          <w:iCs/>
        </w:rPr>
        <w:t>Контактные телефоны: 8(343) 204-72-36</w:t>
      </w:r>
    </w:p>
    <w:p w14:paraId="6273EBFD" w14:textId="77777777" w:rsidR="006D00DF" w:rsidRPr="00E378CE" w:rsidRDefault="006D00DF" w:rsidP="006D00DF">
      <w:pPr>
        <w:autoSpaceDE w:val="0"/>
        <w:autoSpaceDN w:val="0"/>
        <w:rPr>
          <w:rFonts w:eastAsia="Times New Roman" w:cs="Times New Roman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6D00DF" w:rsidRPr="00E378CE" w14:paraId="6F125DEC" w14:textId="77777777" w:rsidTr="00887DD6">
        <w:trPr>
          <w:trHeight w:val="156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C1AF1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00DF" w:rsidRPr="00E378CE" w14:paraId="3549E21E" w14:textId="77777777" w:rsidTr="00887DD6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AA26CA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ED731" w14:textId="7BC9BC24" w:rsidR="006D00DF" w:rsidRPr="00E378CE" w:rsidRDefault="0012438B" w:rsidP="006D00DF">
            <w:pPr>
              <w:autoSpaceDE w:val="0"/>
              <w:autoSpaceDN w:val="0"/>
              <w:rPr>
                <w:rFonts w:eastAsia="Times New Roman" w:cs="Times New Roman"/>
                <w:b/>
                <w:i/>
                <w:lang w:eastAsia="ru-RU"/>
              </w:rPr>
            </w:pPr>
            <w:r w:rsidRPr="00E378CE">
              <w:rPr>
                <w:b/>
                <w:i/>
              </w:rPr>
              <w:t>Директор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25B66" w14:textId="77777777" w:rsidR="006D00DF" w:rsidRPr="00E378CE" w:rsidRDefault="006D00DF" w:rsidP="006D00DF">
            <w:pPr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947C5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34A2C" w14:textId="2D8F318F" w:rsidR="006D00DF" w:rsidRPr="00E378CE" w:rsidRDefault="0012438B" w:rsidP="006D00DF">
            <w:pPr>
              <w:autoSpaceDE w:val="0"/>
              <w:autoSpaceDN w:val="0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378CE">
              <w:rPr>
                <w:b/>
                <w:bCs/>
                <w:i/>
                <w:iCs/>
              </w:rPr>
              <w:t>Новикова Н.Н.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7172B1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D00DF" w:rsidRPr="00E378CE" w14:paraId="2E97DD1F" w14:textId="77777777" w:rsidTr="00887DD6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46F5D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E13428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19A8F43" w14:textId="77777777" w:rsidR="006D00DF" w:rsidRPr="00E378CE" w:rsidRDefault="006D00DF" w:rsidP="006D00DF">
            <w:pPr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78CE">
              <w:rPr>
                <w:rFonts w:eastAsia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176E809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B09449" w14:textId="77777777" w:rsidR="006D00DF" w:rsidRPr="00E378CE" w:rsidRDefault="006D00DF" w:rsidP="006D00DF">
            <w:pPr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78CE">
              <w:rPr>
                <w:rFonts w:eastAsia="Times New Roman" w:cs="Times New Roman"/>
                <w:sz w:val="18"/>
                <w:szCs w:val="18"/>
                <w:lang w:eastAsia="ru-RU"/>
              </w:rPr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58763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D00DF" w:rsidRPr="00E378CE" w14:paraId="4D5DB024" w14:textId="77777777" w:rsidTr="00887DD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0AC748" w14:textId="77777777" w:rsidR="006D00DF" w:rsidRPr="00E378CE" w:rsidRDefault="006D00DF" w:rsidP="006D00DF">
            <w:pPr>
              <w:autoSpaceDE w:val="0"/>
              <w:autoSpaceDN w:val="0"/>
              <w:spacing w:line="36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BC08B" w14:textId="77777777" w:rsidR="006D00DF" w:rsidRPr="00E378CE" w:rsidRDefault="006D00DF" w:rsidP="006D00DF">
            <w:pPr>
              <w:autoSpaceDE w:val="0"/>
              <w:autoSpaceDN w:val="0"/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64E7D" w14:textId="77777777" w:rsidR="006D00DF" w:rsidRPr="00E378CE" w:rsidRDefault="006D00DF" w:rsidP="006D00DF">
            <w:pPr>
              <w:autoSpaceDE w:val="0"/>
              <w:autoSpaceDN w:val="0"/>
              <w:spacing w:line="36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E01E1" w14:textId="77777777" w:rsidR="006D00DF" w:rsidRPr="00E378CE" w:rsidRDefault="006D00DF" w:rsidP="006D00DF">
            <w:pPr>
              <w:autoSpaceDE w:val="0"/>
              <w:autoSpaceDN w:val="0"/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AE0DE" w14:textId="77777777" w:rsidR="006D00DF" w:rsidRPr="00E378CE" w:rsidRDefault="006D00DF" w:rsidP="006D00DF">
            <w:pPr>
              <w:autoSpaceDE w:val="0"/>
              <w:autoSpaceDN w:val="0"/>
              <w:spacing w:line="36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6D1A" w14:textId="77777777" w:rsidR="006D00DF" w:rsidRPr="00E378CE" w:rsidRDefault="006D00DF" w:rsidP="006D00DF">
            <w:pPr>
              <w:autoSpaceDE w:val="0"/>
              <w:autoSpaceDN w:val="0"/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37116" w14:textId="610EBFFD" w:rsidR="006D00DF" w:rsidRPr="00E378CE" w:rsidRDefault="006D00DF" w:rsidP="006D00DF">
            <w:pPr>
              <w:autoSpaceDE w:val="0"/>
              <w:autoSpaceDN w:val="0"/>
              <w:spacing w:line="36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62F63" w14:textId="77777777" w:rsidR="006D00DF" w:rsidRPr="00E378CE" w:rsidRDefault="006D00DF" w:rsidP="006D00DF">
            <w:pPr>
              <w:autoSpaceDE w:val="0"/>
              <w:autoSpaceDN w:val="0"/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B4AD00" w14:textId="77777777" w:rsidR="006D00DF" w:rsidRPr="00E378CE" w:rsidRDefault="006D00DF" w:rsidP="006D00DF">
            <w:pPr>
              <w:autoSpaceDE w:val="0"/>
              <w:autoSpaceDN w:val="0"/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E378CE">
              <w:rPr>
                <w:rFonts w:eastAsia="Times New Roman" w:cs="Times New Roman"/>
                <w:lang w:eastAsia="ru-RU"/>
              </w:rPr>
              <w:t>М.П.</w:t>
            </w:r>
          </w:p>
        </w:tc>
      </w:tr>
      <w:tr w:rsidR="006D00DF" w:rsidRPr="00E378CE" w14:paraId="60F0CE9E" w14:textId="77777777" w:rsidTr="00887DD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386F" w14:textId="77777777" w:rsidR="006D00DF" w:rsidRPr="00E378CE" w:rsidRDefault="006D00DF" w:rsidP="006D00DF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336A81" w14:textId="77777777" w:rsidR="006D00DF" w:rsidRPr="00E378CE" w:rsidRDefault="006D00DF" w:rsidP="006D00DF">
      <w:pPr>
        <w:autoSpaceDE w:val="0"/>
        <w:autoSpaceDN w:val="0"/>
        <w:adjustRightInd w:val="0"/>
        <w:rPr>
          <w:rFonts w:ascii="ArialMT" w:eastAsia="Times New Roman" w:hAnsi="ArialMT" w:cs="ArialMT"/>
          <w:sz w:val="16"/>
          <w:szCs w:val="16"/>
          <w:lang w:eastAsia="ru-RU"/>
        </w:rPr>
      </w:pPr>
    </w:p>
    <w:p w14:paraId="7C8987F0" w14:textId="77777777" w:rsidR="006D00DF" w:rsidRPr="00E378CE" w:rsidRDefault="006D00DF" w:rsidP="006D00DF">
      <w:pPr>
        <w:autoSpaceDE w:val="0"/>
        <w:autoSpaceDN w:val="0"/>
        <w:adjustRightInd w:val="0"/>
        <w:rPr>
          <w:rFonts w:ascii="ArialMT" w:eastAsia="Times New Roman" w:hAnsi="ArialMT" w:cs="ArialMT"/>
          <w:sz w:val="16"/>
          <w:szCs w:val="16"/>
          <w:lang w:eastAsia="ru-RU"/>
        </w:rPr>
      </w:pPr>
    </w:p>
    <w:p w14:paraId="26632D65" w14:textId="77777777" w:rsidR="00083973" w:rsidRPr="00E378CE" w:rsidRDefault="00083973" w:rsidP="00083973"/>
    <w:p w14:paraId="45D1530F" w14:textId="77777777" w:rsidR="00083973" w:rsidRPr="00E378CE" w:rsidRDefault="00083973" w:rsidP="00083973">
      <w:pPr>
        <w:spacing w:after="200" w:line="276" w:lineRule="auto"/>
      </w:pPr>
      <w:r w:rsidRPr="00E378CE">
        <w:br w:type="page"/>
      </w:r>
    </w:p>
    <w:p w14:paraId="0A6C3859" w14:textId="77777777" w:rsidR="00083973" w:rsidRPr="00E378CE" w:rsidRDefault="00083973" w:rsidP="0008397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lastRenderedPageBreak/>
        <w:t>1. Вид ценных бумаг</w:t>
      </w:r>
    </w:p>
    <w:p w14:paraId="74BA7643" w14:textId="77777777" w:rsidR="00083973" w:rsidRPr="00E378CE" w:rsidRDefault="00083973" w:rsidP="00083973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378CE">
        <w:rPr>
          <w:rFonts w:cs="Times New Roman"/>
          <w:b/>
          <w:bCs/>
          <w:i/>
          <w:iCs/>
        </w:rPr>
        <w:t>биржевые облигации на предъявителя</w:t>
      </w:r>
      <w:r w:rsidRPr="00E378CE">
        <w:rPr>
          <w:rFonts w:cs="Times New Roman"/>
        </w:rPr>
        <w:t xml:space="preserve"> </w:t>
      </w:r>
    </w:p>
    <w:p w14:paraId="3057D091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</w:rPr>
        <w:t>Идентификационные признаки ценных бумаг:</w:t>
      </w:r>
      <w:r w:rsidRPr="00E378CE">
        <w:rPr>
          <w:rFonts w:cs="Times New Roman"/>
          <w:b/>
          <w:bCs/>
          <w:i/>
          <w:iCs/>
        </w:rPr>
        <w:t xml:space="preserve"> биржевые облигации процентные неконвертируемые документарные на предъявителя с обязательным централизованным хранением (далее – Биржевые облигации).</w:t>
      </w:r>
    </w:p>
    <w:p w14:paraId="33E917A1" w14:textId="38F47E77" w:rsidR="00083973" w:rsidRPr="00E378CE" w:rsidRDefault="00083973" w:rsidP="00083973">
      <w:pPr>
        <w:autoSpaceDE w:val="0"/>
        <w:autoSpaceDN w:val="0"/>
        <w:ind w:firstLine="539"/>
        <w:jc w:val="both"/>
        <w:rPr>
          <w:rFonts w:cs="Times New Roman"/>
          <w:b/>
          <w:i/>
        </w:rPr>
      </w:pPr>
      <w:r w:rsidRPr="00E378CE">
        <w:rPr>
          <w:rFonts w:cs="Times New Roman"/>
        </w:rPr>
        <w:t>Серия</w:t>
      </w:r>
      <w:r w:rsidRPr="00E378CE">
        <w:t xml:space="preserve"> </w:t>
      </w:r>
      <w:r w:rsidRPr="00E378CE">
        <w:rPr>
          <w:rFonts w:cs="Times New Roman"/>
        </w:rPr>
        <w:t xml:space="preserve">ценных бумаг выпуска: </w:t>
      </w:r>
      <w:r w:rsidR="00AA69DA" w:rsidRPr="00E378CE">
        <w:rPr>
          <w:rFonts w:cs="Times New Roman"/>
          <w:b/>
          <w:i/>
        </w:rPr>
        <w:t>001Р-01R</w:t>
      </w:r>
    </w:p>
    <w:p w14:paraId="103C43DF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</w:p>
    <w:p w14:paraId="73048751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 xml:space="preserve">Далее в настоящем документе будут использоваться следующие термины: </w:t>
      </w:r>
    </w:p>
    <w:p w14:paraId="0FC82F4E" w14:textId="31EC5B21" w:rsidR="00083973" w:rsidRPr="00E378CE" w:rsidRDefault="00394D38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E378CE">
        <w:rPr>
          <w:rFonts w:ascii="Times New Roman" w:hAnsi="Times New Roman" w:cs="Times New Roman"/>
          <w:b/>
          <w:bCs/>
          <w:i/>
          <w:iCs/>
        </w:rPr>
        <w:t xml:space="preserve">Программа </w:t>
      </w:r>
      <w:r w:rsidR="00083973" w:rsidRPr="00E378CE">
        <w:rPr>
          <w:rFonts w:ascii="Times New Roman" w:hAnsi="Times New Roman" w:cs="Times New Roman"/>
          <w:b/>
          <w:bCs/>
          <w:i/>
          <w:iCs/>
        </w:rPr>
        <w:t xml:space="preserve">– программа биржевых облигаций, имеющая идентификационный номер </w:t>
      </w:r>
      <w:r w:rsidR="00C01094" w:rsidRPr="00E378CE">
        <w:rPr>
          <w:rFonts w:ascii="Times New Roman" w:hAnsi="Times New Roman" w:cs="Times New Roman"/>
          <w:b/>
          <w:bCs/>
          <w:i/>
          <w:iCs/>
        </w:rPr>
        <w:t>4-00407-R-001P-02E от 24.07.2019</w:t>
      </w:r>
      <w:r w:rsidR="00083973" w:rsidRPr="00E378CE">
        <w:rPr>
          <w:rFonts w:ascii="Times New Roman" w:hAnsi="Times New Roman" w:cs="Times New Roman"/>
          <w:b/>
          <w:bCs/>
          <w:i/>
          <w:iCs/>
        </w:rPr>
        <w:t>, в рамках которой размещается настоящий выпуск Биржевых облигаций;</w:t>
      </w:r>
    </w:p>
    <w:p w14:paraId="0DCB8700" w14:textId="2FA968FD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E378CE">
        <w:rPr>
          <w:rFonts w:ascii="Times New Roman" w:hAnsi="Times New Roman" w:cs="Times New Roman"/>
          <w:b/>
          <w:bCs/>
          <w:i/>
          <w:iCs/>
        </w:rPr>
        <w:t xml:space="preserve">Условия выпуска – настоящие Условия выпуска биржевых облигаций в рамках Программы, документ, содержащий конкретные условия настоящего выпуска Биржевых облигаций, размещаемого в рамках Программы. </w:t>
      </w:r>
    </w:p>
    <w:p w14:paraId="5406BF4D" w14:textId="487F0122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E378CE">
        <w:rPr>
          <w:rFonts w:ascii="Times New Roman" w:hAnsi="Times New Roman" w:cs="Times New Roman"/>
          <w:b/>
          <w:bCs/>
          <w:i/>
          <w:iCs/>
        </w:rPr>
        <w:t xml:space="preserve">Биржевая облигация – биржевая облигация, размещаемая в рамках Программы и в соответствии с Условиями выпуска. </w:t>
      </w:r>
    </w:p>
    <w:p w14:paraId="21E5BE92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E378CE">
        <w:rPr>
          <w:rFonts w:ascii="Times New Roman" w:hAnsi="Times New Roman" w:cs="Times New Roman"/>
          <w:b/>
          <w:bCs/>
          <w:i/>
          <w:iCs/>
        </w:rPr>
        <w:t>Выпуск – настоящий выпуск Биржевых облигаций, размещаемых в рамках Программы.</w:t>
      </w:r>
    </w:p>
    <w:p w14:paraId="05CCB977" w14:textId="32F7BF4A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E378CE">
        <w:rPr>
          <w:rFonts w:ascii="Times New Roman" w:hAnsi="Times New Roman" w:cs="Times New Roman"/>
          <w:b/>
          <w:bCs/>
          <w:i/>
          <w:iCs/>
        </w:rPr>
        <w:t xml:space="preserve">Эмитент – </w:t>
      </w:r>
      <w:r w:rsidR="00CB6F54" w:rsidRPr="00E378CE">
        <w:rPr>
          <w:rFonts w:ascii="Times New Roman" w:hAnsi="Times New Roman" w:cs="Times New Roman"/>
          <w:b/>
          <w:bCs/>
          <w:i/>
          <w:iCs/>
        </w:rPr>
        <w:t>Общество с ограниченной ответственностью «Торговое предприятие «Кировский»</w:t>
      </w:r>
      <w:r w:rsidRPr="00E378CE">
        <w:rPr>
          <w:rFonts w:ascii="Times New Roman" w:hAnsi="Times New Roman" w:cs="Times New Roman"/>
          <w:b/>
          <w:bCs/>
          <w:i/>
          <w:iCs/>
        </w:rPr>
        <w:t>.</w:t>
      </w:r>
    </w:p>
    <w:p w14:paraId="19F3B637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E378CE">
        <w:rPr>
          <w:rFonts w:ascii="Times New Roman" w:hAnsi="Times New Roman" w:cs="Times New Roman"/>
          <w:b/>
          <w:bCs/>
          <w:i/>
          <w:iCs/>
        </w:rPr>
        <w:t xml:space="preserve">Иные термины, используемые в Условиях выпуска, имеют значение, определенное в Программе. </w:t>
      </w:r>
    </w:p>
    <w:p w14:paraId="528503DC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Cs w:val="22"/>
        </w:rPr>
      </w:pPr>
    </w:p>
    <w:p w14:paraId="01675EEE" w14:textId="0FC138E4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 xml:space="preserve">2. Форма облигаций: </w:t>
      </w:r>
      <w:r w:rsidRPr="00E378CE">
        <w:rPr>
          <w:rFonts w:ascii="Times New Roman" w:hAnsi="Times New Roman" w:cs="Times New Roman"/>
          <w:b/>
          <w:i/>
        </w:rPr>
        <w:t>документарные</w:t>
      </w:r>
      <w:r w:rsidRPr="00E378CE">
        <w:rPr>
          <w:rFonts w:ascii="Times New Roman" w:hAnsi="Times New Roman" w:cs="Times New Roman"/>
        </w:rPr>
        <w:t>.</w:t>
      </w:r>
    </w:p>
    <w:p w14:paraId="75B18F79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7DA0BF2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3. Указание на обязательное централизованное хранение</w:t>
      </w:r>
    </w:p>
    <w:p w14:paraId="43091303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 xml:space="preserve">Предусмотрено обязательное централизованное хранение Биржевых облигаций. </w:t>
      </w:r>
    </w:p>
    <w:p w14:paraId="4E2B3A99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Иные сведения, подлежащие указанию в настоящем пункте, приведены в п. 3 Программы.</w:t>
      </w:r>
    </w:p>
    <w:p w14:paraId="6B73D79F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623D902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 xml:space="preserve">4. Номинальная стоимость каждой облигации выпуска </w:t>
      </w:r>
    </w:p>
    <w:p w14:paraId="38491172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378CE">
        <w:rPr>
          <w:rFonts w:ascii="Times New Roman" w:hAnsi="Times New Roman" w:cs="Times New Roman"/>
          <w:b/>
          <w:i/>
          <w:szCs w:val="22"/>
        </w:rPr>
        <w:t>1 000 (Одна тысяча) рублей.</w:t>
      </w:r>
    </w:p>
    <w:p w14:paraId="662F1595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14:paraId="375BE6CC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5. Количество облигаций выпуска</w:t>
      </w:r>
    </w:p>
    <w:p w14:paraId="5BB1E8A3" w14:textId="0C6125FB" w:rsidR="00083973" w:rsidRPr="00E378CE" w:rsidRDefault="00CB6F54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378CE">
        <w:rPr>
          <w:rFonts w:ascii="Times New Roman" w:eastAsia="PMingLiU" w:hAnsi="Times New Roman" w:cs="Times New Roman"/>
          <w:b/>
          <w:i/>
          <w:szCs w:val="22"/>
          <w:lang w:eastAsia="zh-TW"/>
        </w:rPr>
        <w:t xml:space="preserve">1 200 000 (Один </w:t>
      </w:r>
      <w:r w:rsidR="008246B3" w:rsidRPr="00E378CE">
        <w:rPr>
          <w:rFonts w:ascii="Times New Roman" w:eastAsia="PMingLiU" w:hAnsi="Times New Roman" w:cs="Times New Roman"/>
          <w:b/>
          <w:i/>
          <w:szCs w:val="22"/>
          <w:lang w:eastAsia="zh-TW"/>
        </w:rPr>
        <w:t xml:space="preserve">миллион </w:t>
      </w:r>
      <w:r w:rsidRPr="00E378CE">
        <w:rPr>
          <w:rFonts w:ascii="Times New Roman" w:eastAsia="PMingLiU" w:hAnsi="Times New Roman" w:cs="Times New Roman"/>
          <w:b/>
          <w:i/>
          <w:szCs w:val="22"/>
          <w:lang w:eastAsia="zh-TW"/>
        </w:rPr>
        <w:t>двести тысяч)</w:t>
      </w:r>
      <w:r w:rsidR="00413502" w:rsidRPr="00E378CE">
        <w:rPr>
          <w:rFonts w:ascii="Times New Roman" w:eastAsia="PMingLiU" w:hAnsi="Times New Roman" w:cs="Times New Roman"/>
          <w:b/>
          <w:i/>
          <w:szCs w:val="22"/>
          <w:lang w:eastAsia="zh-TW"/>
        </w:rPr>
        <w:t xml:space="preserve"> штук</w:t>
      </w:r>
      <w:r w:rsidR="00083973" w:rsidRPr="00E378CE">
        <w:rPr>
          <w:rFonts w:ascii="Times New Roman" w:hAnsi="Times New Roman" w:cs="Times New Roman"/>
          <w:b/>
          <w:i/>
          <w:szCs w:val="22"/>
        </w:rPr>
        <w:t>.</w:t>
      </w:r>
    </w:p>
    <w:p w14:paraId="5336AED3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378CE">
        <w:rPr>
          <w:rFonts w:ascii="Times New Roman" w:hAnsi="Times New Roman" w:cs="Times New Roman"/>
          <w:b/>
          <w:i/>
          <w:szCs w:val="22"/>
        </w:rPr>
        <w:t>Биржевые облигации не предполагается размещать траншами.</w:t>
      </w:r>
    </w:p>
    <w:p w14:paraId="73DDA6EC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599683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6. Общее количество облигаций данного выпуска, размещенных ранее</w:t>
      </w:r>
    </w:p>
    <w:p w14:paraId="1CEFCCED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378CE">
        <w:rPr>
          <w:rFonts w:ascii="Times New Roman" w:hAnsi="Times New Roman" w:cs="Times New Roman"/>
          <w:b/>
          <w:i/>
          <w:szCs w:val="22"/>
        </w:rPr>
        <w:t xml:space="preserve">Биржевые облигации данного выпуска ранее не размещались. Выпуск не является дополнительным. </w:t>
      </w:r>
    </w:p>
    <w:p w14:paraId="36954F74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15E731" w14:textId="77777777" w:rsidR="00083973" w:rsidRPr="00E378CE" w:rsidRDefault="00083973" w:rsidP="0008397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378CE">
        <w:t xml:space="preserve">7. </w:t>
      </w:r>
      <w:r w:rsidRPr="00E378CE">
        <w:rPr>
          <w:bCs/>
        </w:rPr>
        <w:t xml:space="preserve">Права владельца каждой облигации выпуска </w:t>
      </w:r>
    </w:p>
    <w:p w14:paraId="0B9460B1" w14:textId="77777777" w:rsidR="000462B3" w:rsidRPr="00E378CE" w:rsidRDefault="000462B3" w:rsidP="000462B3">
      <w:pPr>
        <w:ind w:firstLine="539"/>
        <w:jc w:val="both"/>
        <w:rPr>
          <w:b/>
          <w:bCs/>
          <w:i/>
          <w:iCs/>
        </w:rPr>
      </w:pPr>
      <w:r w:rsidRPr="00E378CE">
        <w:rPr>
          <w:b/>
          <w:bCs/>
          <w:i/>
          <w:iCs/>
        </w:rPr>
        <w:t>Сведения, подлежащие указанию в настоящем пункте, указаны в пункте 7 Программы.</w:t>
      </w:r>
    </w:p>
    <w:p w14:paraId="4FC8824B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A3B683D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 xml:space="preserve">8. Условия и порядок размещения облигаций выпуска </w:t>
      </w:r>
    </w:p>
    <w:p w14:paraId="341AC2B4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8.1. Способ размещения облигаций</w:t>
      </w:r>
    </w:p>
    <w:p w14:paraId="01AC455E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Открытая подписка.</w:t>
      </w:r>
    </w:p>
    <w:p w14:paraId="48EDCFAF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4550AE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8.2. Срок размещения облигаций</w:t>
      </w:r>
    </w:p>
    <w:p w14:paraId="696C3B6A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E378CE">
        <w:rPr>
          <w:rFonts w:ascii="Times New Roman" w:hAnsi="Times New Roman" w:cs="Times New Roman"/>
        </w:rPr>
        <w:t>Дата начала размещения, или порядок ее определения:</w:t>
      </w:r>
    </w:p>
    <w:p w14:paraId="783053E1" w14:textId="5ECDD30F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Дата начала размещения Биржевых облигаций определяется единоличным исполнительным органом Эмитента.</w:t>
      </w:r>
    </w:p>
    <w:p w14:paraId="710EE109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DC11AD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Дата окончания размещения, или порядок ее определения:</w:t>
      </w:r>
    </w:p>
    <w:p w14:paraId="2F9EF9FB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Датой окончания размещения Биржевых облигаций является наиболее ранняя из следующих дат:</w:t>
      </w:r>
    </w:p>
    <w:p w14:paraId="00E8EDC0" w14:textId="057C2F09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 xml:space="preserve">а) </w:t>
      </w:r>
      <w:r w:rsidR="0012478A" w:rsidRPr="00E378CE">
        <w:rPr>
          <w:rFonts w:cs="Times New Roman"/>
          <w:b/>
          <w:bCs/>
          <w:i/>
          <w:iCs/>
        </w:rPr>
        <w:t xml:space="preserve">дата по истечении </w:t>
      </w:r>
      <w:r w:rsidR="004851B6" w:rsidRPr="00E378CE">
        <w:rPr>
          <w:rFonts w:cs="Times New Roman"/>
          <w:b/>
          <w:bCs/>
          <w:i/>
          <w:iCs/>
        </w:rPr>
        <w:t>75</w:t>
      </w:r>
      <w:r w:rsidR="0012478A" w:rsidRPr="00E378CE">
        <w:rPr>
          <w:rFonts w:cs="Times New Roman"/>
          <w:b/>
          <w:bCs/>
          <w:i/>
          <w:iCs/>
        </w:rPr>
        <w:t xml:space="preserve"> календарных дней с даты начала размещения Биржевых облигаций</w:t>
      </w:r>
      <w:r w:rsidRPr="00E378CE">
        <w:rPr>
          <w:rFonts w:cs="Times New Roman"/>
          <w:b/>
          <w:bCs/>
          <w:i/>
          <w:iCs/>
        </w:rPr>
        <w:t>;</w:t>
      </w:r>
    </w:p>
    <w:p w14:paraId="02F590E2" w14:textId="076CFDA8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б) дата размещения последней Биржевой облигации</w:t>
      </w:r>
      <w:r w:rsidR="00EB74A8" w:rsidRPr="00E378CE">
        <w:rPr>
          <w:rFonts w:cs="Times New Roman"/>
          <w:b/>
          <w:bCs/>
          <w:i/>
          <w:iCs/>
        </w:rPr>
        <w:t xml:space="preserve"> Выпуска</w:t>
      </w:r>
      <w:r w:rsidRPr="00E378CE">
        <w:rPr>
          <w:rFonts w:cs="Times New Roman"/>
          <w:b/>
          <w:bCs/>
          <w:i/>
          <w:iCs/>
        </w:rPr>
        <w:t>.</w:t>
      </w:r>
    </w:p>
    <w:p w14:paraId="21C3CF13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</w:p>
    <w:p w14:paraId="6FEBC7E1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Выпуск Биржевых облигаций не предполагается размещать траншами.</w:t>
      </w:r>
    </w:p>
    <w:p w14:paraId="435FE83B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Иные сведения, подлежащие указанию в настоящем пункте, приведены в п. 8.2 Программы.</w:t>
      </w:r>
    </w:p>
    <w:p w14:paraId="515CE770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427A2E1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8.3. Порядок размещения облигаций</w:t>
      </w:r>
    </w:p>
    <w:p w14:paraId="2FA080DC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lastRenderedPageBreak/>
        <w:t xml:space="preserve"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п. 8.4 Условий выпуска (далее – Цена размещения). </w:t>
      </w:r>
    </w:p>
    <w:p w14:paraId="3B7C39C9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 xml:space="preserve">Размещение Биржевых облигаций осуществляется путем сбора адресных заявок со стороны покупателей на приобретение Биржевых облигаций по фиксированной цене и ставке </w:t>
      </w:r>
      <w:r w:rsidRPr="00E378CE">
        <w:rPr>
          <w:b/>
          <w:bCs/>
          <w:i/>
          <w:iCs/>
        </w:rPr>
        <w:t>купона на первый купонный период</w:t>
      </w:r>
      <w:r w:rsidRPr="00E378CE">
        <w:rPr>
          <w:rFonts w:cs="Times New Roman"/>
          <w:b/>
          <w:bCs/>
          <w:i/>
          <w:iCs/>
        </w:rPr>
        <w:t xml:space="preserve">, заранее определенной Эмитентом в порядке и на условиях, предусмотренных пп. 2) п. 8.3 Программы (Размещение Биржевых облигаций путем Формирования книги заявок). </w:t>
      </w:r>
    </w:p>
    <w:p w14:paraId="27C1A0E6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Сведения о порядке размещения Биржевых облигаций, в том числе о порядке и условиях заключения договоров, направленных на отчуждение ценных бумаг первым владельцам в ходе их размещения, указаны в пп. 2) п. 8.3. Программы.</w:t>
      </w:r>
    </w:p>
    <w:p w14:paraId="4A4658F7" w14:textId="1793F80D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</w:p>
    <w:p w14:paraId="778863B7" w14:textId="77777777" w:rsidR="00887F54" w:rsidRPr="00E378CE" w:rsidRDefault="00887F54" w:rsidP="00887F54">
      <w:pPr>
        <w:ind w:firstLine="539"/>
        <w:jc w:val="both"/>
        <w:rPr>
          <w:b/>
          <w:bCs/>
          <w:i/>
          <w:iCs/>
        </w:rPr>
      </w:pPr>
      <w:r w:rsidRPr="00E378CE">
        <w:rPr>
          <w:b/>
          <w:bCs/>
          <w:i/>
          <w:iCs/>
        </w:rPr>
        <w:t>Дополнительные условия размещения Биржевых облигаций:</w:t>
      </w:r>
    </w:p>
    <w:p w14:paraId="466660B0" w14:textId="46685EDF" w:rsidR="00887F54" w:rsidRPr="00E378CE" w:rsidRDefault="00887F54" w:rsidP="00887F54">
      <w:pPr>
        <w:ind w:firstLine="539"/>
        <w:jc w:val="both"/>
        <w:rPr>
          <w:b/>
          <w:bCs/>
          <w:i/>
          <w:iCs/>
        </w:rPr>
      </w:pPr>
      <w:r w:rsidRPr="00E378CE">
        <w:rPr>
          <w:b/>
          <w:bCs/>
          <w:i/>
          <w:iCs/>
        </w:rPr>
        <w:t>Минимальная сумма заявки на покупку Биржевых облигаций, которая может быть подана Участником торгов, действующим за свой счет или за счет и по поручению потенциального приобретателя Биржевых облигаций, составляет 1 400 000 (Один миллион четыреста тысяч) рублей.</w:t>
      </w:r>
    </w:p>
    <w:p w14:paraId="6098077E" w14:textId="77777777" w:rsidR="00887F54" w:rsidRPr="00E378CE" w:rsidRDefault="00887F54" w:rsidP="00887F54">
      <w:pPr>
        <w:ind w:firstLine="539"/>
        <w:jc w:val="both"/>
        <w:rPr>
          <w:b/>
          <w:bCs/>
          <w:i/>
          <w:iCs/>
        </w:rPr>
      </w:pPr>
      <w:r w:rsidRPr="00E378CE">
        <w:rPr>
          <w:b/>
          <w:bCs/>
          <w:i/>
          <w:iCs/>
        </w:rPr>
        <w:t>Минимальная сумма, на которую Эмитент (через Андеррайтера) может удовлетворить поданную заявку Участника торгов, составляет 1 400 000 (Один миллион четыреста тысяч)</w:t>
      </w:r>
      <w:r w:rsidRPr="00E378CE">
        <w:rPr>
          <w:b/>
          <w:bCs/>
          <w:i/>
          <w:iCs/>
          <w:color w:val="0070C0"/>
        </w:rPr>
        <w:t xml:space="preserve"> </w:t>
      </w:r>
      <w:r w:rsidRPr="00E378CE">
        <w:rPr>
          <w:b/>
          <w:bCs/>
          <w:i/>
          <w:iCs/>
        </w:rPr>
        <w:t>рублей.</w:t>
      </w:r>
    </w:p>
    <w:p w14:paraId="3BE130AE" w14:textId="2EE7C9E6" w:rsidR="00887F54" w:rsidRPr="00E378CE" w:rsidRDefault="00887F54" w:rsidP="00887F54">
      <w:pPr>
        <w:jc w:val="both"/>
        <w:rPr>
          <w:rFonts w:cs="Times New Roman"/>
          <w:b/>
          <w:bCs/>
          <w:i/>
          <w:iCs/>
        </w:rPr>
      </w:pPr>
    </w:p>
    <w:p w14:paraId="07CFEB87" w14:textId="0854C373" w:rsidR="00083973" w:rsidRPr="00E378CE" w:rsidRDefault="001E665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 xml:space="preserve">Организатором и </w:t>
      </w:r>
      <w:r w:rsidR="008F6910" w:rsidRPr="00E378CE">
        <w:rPr>
          <w:rFonts w:cs="Times New Roman"/>
          <w:b/>
          <w:bCs/>
          <w:i/>
          <w:iCs/>
        </w:rPr>
        <w:t>Андеррайтер</w:t>
      </w:r>
      <w:r w:rsidR="00123F67" w:rsidRPr="00E378CE">
        <w:rPr>
          <w:rFonts w:cs="Times New Roman"/>
          <w:b/>
          <w:bCs/>
          <w:i/>
          <w:iCs/>
        </w:rPr>
        <w:t>ом Выпуска Биржевых облигаций является</w:t>
      </w:r>
      <w:r w:rsidR="00083973" w:rsidRPr="00E378CE">
        <w:rPr>
          <w:rFonts w:cs="Times New Roman"/>
          <w:b/>
          <w:bCs/>
          <w:i/>
          <w:iCs/>
        </w:rPr>
        <w:t>:</w:t>
      </w:r>
    </w:p>
    <w:p w14:paraId="51353878" w14:textId="77777777" w:rsidR="00083973" w:rsidRPr="00E378CE" w:rsidRDefault="00083973" w:rsidP="00083973">
      <w:pPr>
        <w:ind w:firstLine="539"/>
        <w:jc w:val="both"/>
      </w:pPr>
      <w:r w:rsidRPr="00E378CE">
        <w:t xml:space="preserve">Полное фирменное наименование: </w:t>
      </w:r>
      <w:r w:rsidRPr="00E378CE">
        <w:rPr>
          <w:b/>
          <w:i/>
        </w:rPr>
        <w:t>А</w:t>
      </w:r>
      <w:r w:rsidRPr="00E378CE">
        <w:rPr>
          <w:b/>
          <w:bCs/>
          <w:i/>
          <w:iCs/>
        </w:rPr>
        <w:t xml:space="preserve">кционерное общество «Сбербанк КИБ» </w:t>
      </w:r>
    </w:p>
    <w:p w14:paraId="01C442DE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Сокращенное фирменное наименование: </w:t>
      </w:r>
      <w:r w:rsidRPr="00E378CE">
        <w:rPr>
          <w:b/>
          <w:bCs/>
          <w:i/>
          <w:iCs/>
        </w:rPr>
        <w:t xml:space="preserve">АО «Сбербанк КИБ» </w:t>
      </w:r>
    </w:p>
    <w:p w14:paraId="6145E802" w14:textId="77777777" w:rsidR="00083973" w:rsidRPr="00E378CE" w:rsidRDefault="00083973" w:rsidP="00083973">
      <w:pPr>
        <w:ind w:firstLine="539"/>
        <w:jc w:val="both"/>
      </w:pPr>
      <w:r w:rsidRPr="00E378CE">
        <w:t xml:space="preserve">Место нахождения: </w:t>
      </w:r>
      <w:r w:rsidRPr="00E378CE">
        <w:rPr>
          <w:b/>
          <w:bCs/>
          <w:i/>
          <w:iCs/>
        </w:rPr>
        <w:t>Российская Федерация, г. Москва</w:t>
      </w:r>
    </w:p>
    <w:p w14:paraId="51E278C2" w14:textId="77777777" w:rsidR="00083973" w:rsidRPr="00E378CE" w:rsidRDefault="00083973" w:rsidP="00083973">
      <w:pPr>
        <w:ind w:firstLine="539"/>
        <w:jc w:val="both"/>
      </w:pPr>
      <w:r w:rsidRPr="00E378CE">
        <w:t xml:space="preserve">ИНН: </w:t>
      </w:r>
      <w:r w:rsidRPr="00E378CE">
        <w:rPr>
          <w:b/>
          <w:bCs/>
          <w:i/>
          <w:iCs/>
        </w:rPr>
        <w:t>7710048970</w:t>
      </w:r>
    </w:p>
    <w:p w14:paraId="783F87C2" w14:textId="77777777" w:rsidR="00083973" w:rsidRPr="00E378CE" w:rsidRDefault="00083973" w:rsidP="00083973">
      <w:pPr>
        <w:ind w:firstLine="539"/>
        <w:jc w:val="both"/>
      </w:pPr>
      <w:r w:rsidRPr="00E378CE">
        <w:t xml:space="preserve">ОГРН: </w:t>
      </w:r>
      <w:r w:rsidRPr="00E378CE">
        <w:rPr>
          <w:b/>
          <w:bCs/>
          <w:i/>
          <w:iCs/>
        </w:rPr>
        <w:t>1027739007768</w:t>
      </w:r>
    </w:p>
    <w:p w14:paraId="38482326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Номер лицензии на осуществление брокерской деятельности: </w:t>
      </w:r>
      <w:r w:rsidRPr="00E378CE">
        <w:rPr>
          <w:b/>
          <w:bCs/>
          <w:i/>
          <w:iCs/>
        </w:rPr>
        <w:t xml:space="preserve">№ </w:t>
      </w:r>
      <w:r w:rsidRPr="00E378CE">
        <w:rPr>
          <w:b/>
          <w:bCs/>
          <w:i/>
          <w:iCs/>
          <w:lang w:eastAsia="ja-JP"/>
        </w:rPr>
        <w:t>045</w:t>
      </w:r>
      <w:r w:rsidRPr="00E378CE">
        <w:rPr>
          <w:b/>
          <w:bCs/>
          <w:i/>
          <w:iCs/>
        </w:rPr>
        <w:t>-06514-100000</w:t>
      </w:r>
    </w:p>
    <w:p w14:paraId="42794471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Дата выдачи: </w:t>
      </w:r>
      <w:r w:rsidRPr="00E378CE">
        <w:rPr>
          <w:b/>
          <w:bCs/>
          <w:i/>
          <w:iCs/>
        </w:rPr>
        <w:t>08.04.2003</w:t>
      </w:r>
    </w:p>
    <w:p w14:paraId="41438282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Срок действия: </w:t>
      </w:r>
      <w:r w:rsidRPr="00E378CE">
        <w:rPr>
          <w:b/>
          <w:bCs/>
          <w:i/>
          <w:iCs/>
        </w:rPr>
        <w:t>без ограничения срока действия</w:t>
      </w:r>
    </w:p>
    <w:p w14:paraId="55F29ECD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Орган, выдавший лицензию: </w:t>
      </w:r>
      <w:r w:rsidRPr="00E378CE">
        <w:rPr>
          <w:b/>
          <w:bCs/>
          <w:i/>
          <w:iCs/>
        </w:rPr>
        <w:t>ФКЦБ России</w:t>
      </w:r>
    </w:p>
    <w:p w14:paraId="74484E3B" w14:textId="77777777" w:rsidR="00083973" w:rsidRPr="00E378CE" w:rsidRDefault="00083973" w:rsidP="00083973">
      <w:pPr>
        <w:jc w:val="both"/>
        <w:rPr>
          <w:rFonts w:cs="Times New Roman"/>
          <w:b/>
          <w:bCs/>
          <w:i/>
          <w:iCs/>
        </w:rPr>
      </w:pPr>
    </w:p>
    <w:p w14:paraId="14EE25EC" w14:textId="13C18DB6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E378CE">
        <w:rPr>
          <w:rFonts w:ascii="Times New Roman" w:hAnsi="Times New Roman" w:cs="Times New Roman"/>
        </w:rPr>
        <w:t xml:space="preserve">наличие </w:t>
      </w:r>
      <w:r w:rsidR="008F6910" w:rsidRPr="00E378CE">
        <w:rPr>
          <w:rFonts w:ascii="Times New Roman" w:hAnsi="Times New Roman" w:cs="Times New Roman"/>
        </w:rPr>
        <w:t>у такого лица обязанностей</w:t>
      </w:r>
      <w:r w:rsidRPr="00E378CE">
        <w:rPr>
          <w:rFonts w:ascii="Times New Roman" w:hAnsi="Times New Roman" w:cs="Times New Roman"/>
        </w:rPr>
        <w:t xml:space="preserve">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обязаны приобрести указанные лица, и срок (порядок определения срока), по истечении которого указанные лица обязаны приобрести такое количество ценных бумаг: </w:t>
      </w:r>
      <w:r w:rsidR="00EE18C8" w:rsidRPr="00E378CE">
        <w:rPr>
          <w:rFonts w:ascii="Times New Roman" w:eastAsiaTheme="minorHAnsi" w:hAnsi="Times New Roman" w:cs="Times New Roman"/>
          <w:b/>
          <w:bCs/>
          <w:i/>
          <w:iCs/>
          <w:szCs w:val="22"/>
          <w:lang w:eastAsia="en-US"/>
        </w:rPr>
        <w:t>у лиц</w:t>
      </w:r>
      <w:r w:rsidR="008F6910" w:rsidRPr="00E378CE">
        <w:rPr>
          <w:rFonts w:ascii="Times New Roman" w:eastAsiaTheme="minorHAnsi" w:hAnsi="Times New Roman" w:cs="Times New Roman"/>
          <w:b/>
          <w:bCs/>
          <w:i/>
          <w:iCs/>
          <w:szCs w:val="22"/>
          <w:lang w:eastAsia="en-US"/>
        </w:rPr>
        <w:t>а, оказывающего</w:t>
      </w:r>
      <w:r w:rsidRPr="00E378CE">
        <w:rPr>
          <w:rFonts w:ascii="Times New Roman" w:eastAsiaTheme="minorHAnsi" w:hAnsi="Times New Roman" w:cs="Times New Roman"/>
          <w:b/>
          <w:bCs/>
          <w:i/>
          <w:iCs/>
          <w:szCs w:val="22"/>
          <w:lang w:eastAsia="en-US"/>
        </w:rPr>
        <w:t xml:space="preserve"> услуги по размещению и организации размещения ценных бумаг, такая обязанность отсутствует.</w:t>
      </w:r>
    </w:p>
    <w:p w14:paraId="0F318536" w14:textId="70FBA318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E378CE">
        <w:rPr>
          <w:rFonts w:ascii="Times New Roman" w:hAnsi="Times New Roman" w:cs="Times New Roman"/>
        </w:rPr>
        <w:t xml:space="preserve">наличие </w:t>
      </w:r>
      <w:r w:rsidR="008F6910" w:rsidRPr="00E378CE">
        <w:rPr>
          <w:rFonts w:ascii="Times New Roman" w:hAnsi="Times New Roman" w:cs="Times New Roman"/>
        </w:rPr>
        <w:t>у такого лица обязанностей</w:t>
      </w:r>
      <w:r w:rsidRPr="00E378CE">
        <w:rPr>
          <w:rFonts w:ascii="Times New Roman" w:hAnsi="Times New Roman" w:cs="Times New Roman"/>
        </w:rPr>
        <w:t xml:space="preserve">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указанные лица обязаны осуществлять стабилизацию или оказывать услуги маркет-мейкера: </w:t>
      </w:r>
      <w:r w:rsidR="00EE18C8" w:rsidRPr="00E378CE">
        <w:rPr>
          <w:rFonts w:ascii="Times New Roman" w:hAnsi="Times New Roman" w:cs="Times New Roman"/>
          <w:b/>
          <w:bCs/>
          <w:i/>
          <w:iCs/>
        </w:rPr>
        <w:t>у лиц</w:t>
      </w:r>
      <w:r w:rsidR="008F6910" w:rsidRPr="00E378CE">
        <w:rPr>
          <w:rFonts w:ascii="Times New Roman" w:hAnsi="Times New Roman" w:cs="Times New Roman"/>
          <w:b/>
          <w:bCs/>
          <w:i/>
          <w:iCs/>
        </w:rPr>
        <w:t>а, оказывающего</w:t>
      </w:r>
      <w:r w:rsidRPr="00E378CE">
        <w:rPr>
          <w:rFonts w:ascii="Times New Roman" w:hAnsi="Times New Roman" w:cs="Times New Roman"/>
          <w:b/>
          <w:bCs/>
          <w:i/>
          <w:iCs/>
        </w:rPr>
        <w:t xml:space="preserve"> услуги по размещению и организации размещения ценных бумаг, такая обязанность отсутствует.</w:t>
      </w:r>
    </w:p>
    <w:p w14:paraId="59903070" w14:textId="77777777" w:rsidR="006965CB" w:rsidRPr="00E378CE" w:rsidRDefault="006965CB" w:rsidP="00083973">
      <w:pPr>
        <w:ind w:firstLine="539"/>
        <w:jc w:val="both"/>
        <w:rPr>
          <w:rFonts w:cs="Times New Roman"/>
          <w:b/>
          <w:bCs/>
          <w:i/>
          <w:iCs/>
        </w:rPr>
      </w:pPr>
    </w:p>
    <w:p w14:paraId="79D01E1D" w14:textId="6188D640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Иные сведения, подлежащие указанию в настоящем пункте, приведены в п. 8.3 Программы.</w:t>
      </w:r>
    </w:p>
    <w:p w14:paraId="402032E6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E4D7ED8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8.4. Цена (цены) или порядок определения цены размещения облигаций</w:t>
      </w:r>
    </w:p>
    <w:p w14:paraId="6E07DD69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 xml:space="preserve">Цена размещения Биржевых облигаций устанавливается равной 1 000 (Одной тысяче) рублей за одну Биржевую облигацию, что соответствует 100% от номинальной стоимости Биржевой облигации. </w:t>
      </w:r>
    </w:p>
    <w:p w14:paraId="33D33136" w14:textId="78DBAD44" w:rsidR="00083973" w:rsidRPr="00E378CE" w:rsidRDefault="00FF45C5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Начиная со второго дня размещения Биржевых облигаций, покупатель при совершении сделки купли-продажи Биржевых облигаций также уплачивает накопленный купонный доход (НКД) по Биржевым облигациям, определяемый по формуле, установленной в пункте 18 Программы.</w:t>
      </w:r>
    </w:p>
    <w:p w14:paraId="4813AE1F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60BBC5F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8.5. Условия и порядок оплаты облигаций</w:t>
      </w:r>
    </w:p>
    <w:p w14:paraId="7B464B92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Биржевые 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Федерации.</w:t>
      </w:r>
    </w:p>
    <w:p w14:paraId="52CE0FAE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</w:p>
    <w:p w14:paraId="463C78ED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  <w:lang w:eastAsia="zh-TW"/>
        </w:rPr>
      </w:pPr>
      <w:r w:rsidRPr="00E378CE">
        <w:rPr>
          <w:rFonts w:cs="Times New Roman"/>
          <w:b/>
          <w:bCs/>
          <w:i/>
          <w:iCs/>
        </w:rPr>
        <w:t>Информация о счете Андеррайтера, на который должны перечисляться денежные средства, поступающие в оплату Биржевых облигаций:</w:t>
      </w:r>
    </w:p>
    <w:p w14:paraId="7C29E3C7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  <w:lang w:eastAsia="zh-TW"/>
        </w:rPr>
      </w:pPr>
      <w:r w:rsidRPr="00E378CE">
        <w:rPr>
          <w:rFonts w:cs="Times New Roman"/>
          <w:b/>
          <w:bCs/>
          <w:i/>
          <w:iCs/>
        </w:rPr>
        <w:lastRenderedPageBreak/>
        <w:t>Владелец счета:</w:t>
      </w:r>
    </w:p>
    <w:p w14:paraId="1AFB42D2" w14:textId="77777777" w:rsidR="00083973" w:rsidRPr="00E378CE" w:rsidRDefault="00083973" w:rsidP="00083973">
      <w:pPr>
        <w:ind w:firstLine="539"/>
        <w:jc w:val="both"/>
        <w:rPr>
          <w:b/>
        </w:rPr>
      </w:pPr>
      <w:r w:rsidRPr="00E378CE">
        <w:t xml:space="preserve">Полное фирменное наименование: </w:t>
      </w:r>
      <w:r w:rsidRPr="00E378CE">
        <w:rPr>
          <w:b/>
          <w:bCs/>
          <w:i/>
          <w:iCs/>
        </w:rPr>
        <w:t>Акционерное общество «Сбербанк КИБ»</w:t>
      </w:r>
    </w:p>
    <w:p w14:paraId="343F320E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Сокращенное фирменное наименование: </w:t>
      </w:r>
      <w:r w:rsidRPr="00E378CE">
        <w:rPr>
          <w:b/>
          <w:bCs/>
          <w:i/>
          <w:iCs/>
        </w:rPr>
        <w:t>АО «Сбербанк КИБ»</w:t>
      </w:r>
    </w:p>
    <w:p w14:paraId="77700CAA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ИНН: </w:t>
      </w:r>
      <w:r w:rsidRPr="00E378CE">
        <w:rPr>
          <w:b/>
          <w:bCs/>
          <w:i/>
          <w:iCs/>
        </w:rPr>
        <w:t>7710048970</w:t>
      </w:r>
    </w:p>
    <w:p w14:paraId="1E5979C2" w14:textId="77777777" w:rsidR="00083973" w:rsidRPr="00E378CE" w:rsidRDefault="00083973" w:rsidP="00083973">
      <w:pPr>
        <w:ind w:firstLine="539"/>
        <w:jc w:val="both"/>
      </w:pPr>
      <w:r w:rsidRPr="00E378CE">
        <w:t xml:space="preserve">Номер счета: </w:t>
      </w:r>
      <w:r w:rsidRPr="00E378CE">
        <w:rPr>
          <w:b/>
          <w:bCs/>
          <w:i/>
          <w:iCs/>
        </w:rPr>
        <w:t>30411810600019000033</w:t>
      </w:r>
    </w:p>
    <w:p w14:paraId="69A0D819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  <w:lang w:eastAsia="zh-TW"/>
        </w:rPr>
      </w:pPr>
    </w:p>
    <w:p w14:paraId="5A8F2201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  <w:lang w:eastAsia="ru-RU"/>
        </w:rPr>
      </w:pPr>
      <w:r w:rsidRPr="00E378CE">
        <w:rPr>
          <w:rFonts w:cs="Times New Roman"/>
          <w:b/>
          <w:bCs/>
          <w:i/>
          <w:iCs/>
          <w:lang w:eastAsia="ru-RU"/>
        </w:rPr>
        <w:t>Кредитная организация:</w:t>
      </w:r>
    </w:p>
    <w:p w14:paraId="401861EC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Полное фирменное наименование: </w:t>
      </w:r>
      <w:r w:rsidRPr="00E378CE">
        <w:rPr>
          <w:b/>
          <w:bCs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0271613F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Сокращенное фирменное наименование: </w:t>
      </w:r>
      <w:r w:rsidRPr="00E378CE">
        <w:rPr>
          <w:b/>
          <w:bCs/>
          <w:i/>
          <w:iCs/>
        </w:rPr>
        <w:t>НКО АО НРД.</w:t>
      </w:r>
    </w:p>
    <w:p w14:paraId="52AC5E70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Место нахождения: </w:t>
      </w:r>
      <w:r w:rsidRPr="00E378CE">
        <w:rPr>
          <w:b/>
          <w:bCs/>
          <w:i/>
          <w:iCs/>
        </w:rPr>
        <w:t>город Москва, улица Спартаковская, дом 12</w:t>
      </w:r>
    </w:p>
    <w:p w14:paraId="39AFE381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Почтовый адрес: </w:t>
      </w:r>
      <w:r w:rsidRPr="00E378CE">
        <w:rPr>
          <w:b/>
          <w:bCs/>
          <w:i/>
          <w:iCs/>
        </w:rPr>
        <w:t>105066, г. Москва, ул. Спартаковская, дом 12</w:t>
      </w:r>
    </w:p>
    <w:p w14:paraId="2BB79D29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rPr>
          <w:bCs/>
          <w:iCs/>
        </w:rPr>
        <w:t>ИНН</w:t>
      </w:r>
      <w:r w:rsidRPr="00E378CE">
        <w:rPr>
          <w:b/>
          <w:bCs/>
          <w:iCs/>
        </w:rPr>
        <w:t>:</w:t>
      </w:r>
      <w:r w:rsidRPr="00E378CE">
        <w:rPr>
          <w:b/>
          <w:bCs/>
          <w:i/>
          <w:iCs/>
        </w:rPr>
        <w:t xml:space="preserve"> 7702165310</w:t>
      </w:r>
    </w:p>
    <w:p w14:paraId="3E150ACE" w14:textId="77777777" w:rsidR="00083973" w:rsidRPr="00E378CE" w:rsidRDefault="00083973" w:rsidP="00083973">
      <w:pPr>
        <w:ind w:firstLine="539"/>
        <w:jc w:val="both"/>
      </w:pPr>
      <w:r w:rsidRPr="00E378CE">
        <w:t xml:space="preserve">Телефон: </w:t>
      </w:r>
      <w:r w:rsidRPr="00E378CE">
        <w:rPr>
          <w:b/>
          <w:i/>
        </w:rPr>
        <w:t>8 (495) 232-05-27</w:t>
      </w:r>
    </w:p>
    <w:p w14:paraId="484C63AB" w14:textId="77777777" w:rsidR="00083973" w:rsidRPr="00E378CE" w:rsidRDefault="00083973" w:rsidP="00083973">
      <w:pPr>
        <w:ind w:firstLine="539"/>
        <w:jc w:val="both"/>
      </w:pPr>
      <w:r w:rsidRPr="00E378CE">
        <w:t xml:space="preserve">Номер лицензии на право осуществления банковских операций: </w:t>
      </w:r>
      <w:r w:rsidRPr="00E378CE">
        <w:rPr>
          <w:b/>
          <w:bCs/>
          <w:i/>
          <w:iCs/>
        </w:rPr>
        <w:t>№ 3294</w:t>
      </w:r>
    </w:p>
    <w:p w14:paraId="35986100" w14:textId="77777777" w:rsidR="00083973" w:rsidRPr="00E378CE" w:rsidRDefault="00083973" w:rsidP="00083973">
      <w:pPr>
        <w:ind w:firstLine="539"/>
        <w:jc w:val="both"/>
        <w:rPr>
          <w:b/>
        </w:rPr>
      </w:pPr>
      <w:r w:rsidRPr="00E378CE">
        <w:t xml:space="preserve">Дата выдачи: </w:t>
      </w:r>
      <w:r w:rsidRPr="00E378CE">
        <w:rPr>
          <w:b/>
          <w:bCs/>
          <w:i/>
          <w:iCs/>
        </w:rPr>
        <w:t>4 августа 2016 года</w:t>
      </w:r>
    </w:p>
    <w:p w14:paraId="31CE1A96" w14:textId="77777777" w:rsidR="00083973" w:rsidRPr="00E378CE" w:rsidRDefault="00083973" w:rsidP="00083973">
      <w:pPr>
        <w:ind w:firstLine="539"/>
        <w:jc w:val="both"/>
      </w:pPr>
      <w:r w:rsidRPr="00E378CE">
        <w:t xml:space="preserve">Срок действия: </w:t>
      </w:r>
      <w:r w:rsidRPr="00E378CE">
        <w:rPr>
          <w:b/>
          <w:bCs/>
          <w:i/>
          <w:iCs/>
        </w:rPr>
        <w:t>без ограничения срока действия</w:t>
      </w:r>
    </w:p>
    <w:p w14:paraId="4ADEC150" w14:textId="77777777" w:rsidR="00083973" w:rsidRPr="00E378CE" w:rsidRDefault="00083973" w:rsidP="00083973">
      <w:pPr>
        <w:ind w:firstLine="539"/>
        <w:jc w:val="both"/>
      </w:pPr>
      <w:r w:rsidRPr="00E378CE">
        <w:t xml:space="preserve">Орган, выдавший указанную лицензию: </w:t>
      </w:r>
      <w:r w:rsidRPr="00E378CE">
        <w:rPr>
          <w:b/>
          <w:bCs/>
          <w:i/>
          <w:iCs/>
        </w:rPr>
        <w:t>Банк России</w:t>
      </w:r>
    </w:p>
    <w:p w14:paraId="5EAAE537" w14:textId="67A87DBA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t xml:space="preserve">БИК: </w:t>
      </w:r>
      <w:r w:rsidRPr="00E378CE">
        <w:rPr>
          <w:b/>
          <w:bCs/>
          <w:i/>
          <w:iCs/>
        </w:rPr>
        <w:t>044525505</w:t>
      </w:r>
    </w:p>
    <w:p w14:paraId="45EC25EE" w14:textId="19FE4DA5" w:rsidR="00CF2880" w:rsidRPr="00E378CE" w:rsidRDefault="00CF2880" w:rsidP="00CF2880">
      <w:pPr>
        <w:ind w:firstLine="539"/>
        <w:jc w:val="both"/>
        <w:rPr>
          <w:b/>
          <w:bCs/>
          <w:i/>
          <w:iCs/>
        </w:rPr>
      </w:pPr>
      <w:r w:rsidRPr="00E378CE">
        <w:t xml:space="preserve">КПП: </w:t>
      </w:r>
      <w:r w:rsidRPr="00E378CE">
        <w:rPr>
          <w:b/>
          <w:i/>
        </w:rPr>
        <w:t>770101001</w:t>
      </w:r>
    </w:p>
    <w:p w14:paraId="5D284FF0" w14:textId="77777777" w:rsidR="00083973" w:rsidRPr="00E378CE" w:rsidRDefault="00083973" w:rsidP="00083973">
      <w:pPr>
        <w:ind w:firstLine="539"/>
        <w:jc w:val="both"/>
      </w:pPr>
      <w:r w:rsidRPr="00E378CE">
        <w:t xml:space="preserve">К/с: </w:t>
      </w:r>
      <w:r w:rsidRPr="00E378CE">
        <w:rPr>
          <w:b/>
          <w:bCs/>
          <w:i/>
          <w:iCs/>
        </w:rPr>
        <w:t>№ 30105810345250000505 в ГУ Банка России по ЦФО</w:t>
      </w:r>
    </w:p>
    <w:p w14:paraId="6E8F85AC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  <w:lang w:eastAsia="zh-TW"/>
        </w:rPr>
      </w:pPr>
    </w:p>
    <w:p w14:paraId="13080F5F" w14:textId="1579CACF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Иные сведения, подлежащие указанию в наст</w:t>
      </w:r>
      <w:r w:rsidR="00EE18C8" w:rsidRPr="00E378CE">
        <w:rPr>
          <w:rFonts w:cs="Times New Roman"/>
          <w:b/>
          <w:bCs/>
          <w:i/>
          <w:iCs/>
        </w:rPr>
        <w:t>оящем пункте, приведены в п. 8.5</w:t>
      </w:r>
      <w:r w:rsidRPr="00E378CE">
        <w:rPr>
          <w:rFonts w:cs="Times New Roman"/>
          <w:b/>
          <w:bCs/>
          <w:i/>
          <w:iCs/>
        </w:rPr>
        <w:t xml:space="preserve"> Программы.</w:t>
      </w:r>
    </w:p>
    <w:p w14:paraId="37427AF7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742C34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8.6. Сведения о документе, содержащем фактические итоги размещения облигаций, который представляется после завершения размещения облигаций</w:t>
      </w:r>
    </w:p>
    <w:p w14:paraId="5FD06B87" w14:textId="0CAB1CBE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Сведения, подлежащие указанию в наст</w:t>
      </w:r>
      <w:r w:rsidR="00FA32CD" w:rsidRPr="00E378CE">
        <w:rPr>
          <w:rFonts w:cs="Times New Roman"/>
          <w:b/>
          <w:bCs/>
          <w:i/>
          <w:iCs/>
        </w:rPr>
        <w:t>оящем пункте, приведены в п. 8.6</w:t>
      </w:r>
      <w:r w:rsidRPr="00E378CE">
        <w:rPr>
          <w:rFonts w:cs="Times New Roman"/>
          <w:b/>
          <w:bCs/>
          <w:i/>
          <w:iCs/>
        </w:rPr>
        <w:t xml:space="preserve"> Программы.</w:t>
      </w:r>
    </w:p>
    <w:p w14:paraId="59BA136D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</w:p>
    <w:p w14:paraId="52882054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9. Порядок и условия погашения и выплаты доходов по облигациям</w:t>
      </w:r>
    </w:p>
    <w:p w14:paraId="651D7460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9.1. Форма погашения облигаций</w:t>
      </w:r>
    </w:p>
    <w:p w14:paraId="3606868E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Погашение Биржевых облигаций</w:t>
      </w:r>
      <w:r w:rsidRPr="00E378CE" w:rsidDel="00243EFC">
        <w:rPr>
          <w:rFonts w:cs="Times New Roman"/>
          <w:b/>
          <w:bCs/>
          <w:i/>
          <w:iCs/>
        </w:rPr>
        <w:t xml:space="preserve"> </w:t>
      </w:r>
      <w:r w:rsidRPr="00E378CE">
        <w:rPr>
          <w:rFonts w:cs="Times New Roman"/>
          <w:b/>
          <w:bCs/>
          <w:i/>
          <w:iCs/>
        </w:rPr>
        <w:t>производится денежными средствами в рублях Российской Федерации в безналичном порядке.</w:t>
      </w:r>
    </w:p>
    <w:p w14:paraId="3364BCD8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Возможность выбора владельцами Биржевых облигаций формы погашения Биржевых облигаций не предусмотрена.</w:t>
      </w:r>
    </w:p>
    <w:p w14:paraId="3AAD7A58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3B4D93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 xml:space="preserve">9.2. Порядок и условия погашения облигаций  </w:t>
      </w:r>
    </w:p>
    <w:p w14:paraId="7A1BBE71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Срок (дата) погашения Биржевых облигаций или порядок ее определения.</w:t>
      </w:r>
    </w:p>
    <w:p w14:paraId="1565DE2E" w14:textId="398A282D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 xml:space="preserve">Биржевые облигации погашаются в </w:t>
      </w:r>
      <w:r w:rsidR="00CB6F54" w:rsidRPr="00E378CE">
        <w:rPr>
          <w:b/>
          <w:bCs/>
          <w:i/>
          <w:iCs/>
        </w:rPr>
        <w:t>3 640 (Три тысячи шестьсот сороковой)</w:t>
      </w:r>
      <w:r w:rsidR="007F0E45" w:rsidRPr="00E378CE">
        <w:rPr>
          <w:b/>
          <w:bCs/>
          <w:i/>
          <w:iCs/>
        </w:rPr>
        <w:t xml:space="preserve"> </w:t>
      </w:r>
      <w:r w:rsidRPr="00E378CE">
        <w:rPr>
          <w:rFonts w:cs="Times New Roman"/>
          <w:b/>
          <w:i/>
        </w:rPr>
        <w:t>день с даты начала размещения Биржевых облигаций</w:t>
      </w:r>
      <w:r w:rsidRPr="00E378CE">
        <w:rPr>
          <w:rFonts w:cs="Times New Roman"/>
          <w:b/>
          <w:bCs/>
          <w:i/>
          <w:iCs/>
        </w:rPr>
        <w:t>.</w:t>
      </w:r>
    </w:p>
    <w:p w14:paraId="00093832" w14:textId="77777777" w:rsidR="00083973" w:rsidRPr="00E378CE" w:rsidRDefault="00083973" w:rsidP="00083973">
      <w:pPr>
        <w:tabs>
          <w:tab w:val="num" w:pos="786"/>
        </w:tabs>
        <w:adjustRightInd w:val="0"/>
        <w:ind w:firstLine="539"/>
        <w:jc w:val="both"/>
      </w:pPr>
      <w:r w:rsidRPr="00E378CE">
        <w:t>Порядок и условия погашения Биржевых облигаций:</w:t>
      </w:r>
    </w:p>
    <w:p w14:paraId="7CBD9374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b/>
          <w:i/>
        </w:rPr>
        <w:t xml:space="preserve">Погашение Биржевых облигаций производится денежными средствами в рублях Российской Федерации в безналичном порядке. </w:t>
      </w:r>
      <w:r w:rsidRPr="00E378CE">
        <w:rPr>
          <w:rFonts w:cs="Times New Roman"/>
          <w:b/>
          <w:bCs/>
          <w:i/>
          <w:iCs/>
        </w:rPr>
        <w:t>Иные сведения, подлежащие указанию в настоящем пункте, приведены в п. 9.2 Программы.</w:t>
      </w:r>
    </w:p>
    <w:p w14:paraId="0FCEB950" w14:textId="2F78A0F3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356D905" w14:textId="5B1AD238" w:rsidR="009B3659" w:rsidRPr="00E378CE" w:rsidRDefault="009B3659" w:rsidP="009B3659">
      <w:pPr>
        <w:adjustRightInd w:val="0"/>
        <w:ind w:firstLine="539"/>
        <w:jc w:val="both"/>
      </w:pPr>
      <w:r w:rsidRPr="00E378CE">
        <w:t>9.2.1. Порядок определения выплат по каждой структурной облигации при ее погашении.</w:t>
      </w:r>
    </w:p>
    <w:p w14:paraId="75D0794B" w14:textId="77777777" w:rsidR="009B3659" w:rsidRPr="00E378CE" w:rsidRDefault="009B3659" w:rsidP="009B3659">
      <w:pPr>
        <w:adjustRightInd w:val="0"/>
        <w:ind w:firstLine="539"/>
        <w:jc w:val="both"/>
        <w:rPr>
          <w:b/>
          <w:i/>
        </w:rPr>
      </w:pPr>
      <w:r w:rsidRPr="00E378CE">
        <w:rPr>
          <w:b/>
          <w:i/>
        </w:rPr>
        <w:t>Биржевые облигации не являются структурными облигациями.</w:t>
      </w:r>
    </w:p>
    <w:p w14:paraId="6A1E07F5" w14:textId="7E404081" w:rsidR="009B3659" w:rsidRPr="00E378CE" w:rsidRDefault="009B3659" w:rsidP="009B3659">
      <w:pPr>
        <w:pStyle w:val="ConsPlusNormal"/>
        <w:jc w:val="both"/>
        <w:rPr>
          <w:rFonts w:ascii="Times New Roman" w:hAnsi="Times New Roman" w:cs="Times New Roman"/>
        </w:rPr>
      </w:pPr>
    </w:p>
    <w:p w14:paraId="08A7F008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9.3. Порядок определения дохода, выплачиваемого по каждой облигации</w:t>
      </w:r>
    </w:p>
    <w:p w14:paraId="2DB01EB3" w14:textId="5242108A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Биржевые облигации предусматривают получение купонного дохода, к</w:t>
      </w:r>
      <w:r w:rsidR="00F8245E" w:rsidRPr="00E378CE">
        <w:rPr>
          <w:rFonts w:cs="Times New Roman"/>
          <w:b/>
          <w:bCs/>
          <w:i/>
          <w:iCs/>
        </w:rPr>
        <w:t xml:space="preserve">ак это понятие определено в </w:t>
      </w:r>
      <w:r w:rsidRPr="00E378CE">
        <w:rPr>
          <w:rFonts w:cs="Times New Roman"/>
          <w:b/>
          <w:bCs/>
          <w:i/>
          <w:iCs/>
        </w:rPr>
        <w:t>п. 9.3 Программы.</w:t>
      </w:r>
    </w:p>
    <w:p w14:paraId="589690EB" w14:textId="39A3C33F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 xml:space="preserve">Количество купонных периодов Биржевых облигаций - </w:t>
      </w:r>
      <w:r w:rsidR="0012478A" w:rsidRPr="00E378CE">
        <w:rPr>
          <w:rFonts w:cs="Times New Roman"/>
          <w:b/>
          <w:i/>
        </w:rPr>
        <w:t xml:space="preserve">40 </w:t>
      </w:r>
      <w:r w:rsidR="008F6910" w:rsidRPr="00E378CE">
        <w:rPr>
          <w:rFonts w:cs="Times New Roman"/>
          <w:b/>
          <w:i/>
        </w:rPr>
        <w:t>(</w:t>
      </w:r>
      <w:r w:rsidR="0012478A" w:rsidRPr="00E378CE">
        <w:rPr>
          <w:rFonts w:cs="Times New Roman"/>
          <w:b/>
          <w:i/>
        </w:rPr>
        <w:t>Сорок</w:t>
      </w:r>
      <w:r w:rsidRPr="00E378CE">
        <w:rPr>
          <w:rFonts w:cs="Times New Roman"/>
          <w:b/>
          <w:i/>
        </w:rPr>
        <w:t>).</w:t>
      </w:r>
    </w:p>
    <w:p w14:paraId="051A15BE" w14:textId="77777777" w:rsidR="00563982" w:rsidRPr="00E378CE" w:rsidRDefault="00563982" w:rsidP="00563982">
      <w:pPr>
        <w:jc w:val="both"/>
        <w:rPr>
          <w:b/>
          <w:bCs/>
          <w:i/>
          <w:iCs/>
        </w:rPr>
      </w:pPr>
    </w:p>
    <w:p w14:paraId="54C0C9C0" w14:textId="77777777" w:rsidR="00563982" w:rsidRPr="00E378CE" w:rsidRDefault="00563982" w:rsidP="00563982">
      <w:pPr>
        <w:tabs>
          <w:tab w:val="num" w:pos="786"/>
        </w:tabs>
        <w:adjustRightInd w:val="0"/>
        <w:ind w:firstLine="539"/>
        <w:jc w:val="both"/>
        <w:rPr>
          <w:b/>
          <w:i/>
        </w:rPr>
      </w:pPr>
      <w:r w:rsidRPr="00E378CE">
        <w:rPr>
          <w:b/>
          <w:i/>
        </w:rPr>
        <w:t>Дата начала каждого купонного периода определяется по формуле:</w:t>
      </w:r>
    </w:p>
    <w:p w14:paraId="0308BFA4" w14:textId="17DE5052" w:rsidR="00563982" w:rsidRPr="00E378CE" w:rsidRDefault="00563982" w:rsidP="00563982">
      <w:pPr>
        <w:ind w:firstLine="539"/>
        <w:jc w:val="both"/>
        <w:rPr>
          <w:b/>
          <w:i/>
        </w:rPr>
      </w:pPr>
      <w:r w:rsidRPr="00E378CE">
        <w:rPr>
          <w:b/>
          <w:i/>
        </w:rPr>
        <w:t>ДНКП(i) = ДНР +</w:t>
      </w:r>
      <w:r w:rsidR="0064527A" w:rsidRPr="00E378CE">
        <w:rPr>
          <w:b/>
          <w:i/>
        </w:rPr>
        <w:t xml:space="preserve">91 </w:t>
      </w:r>
      <w:r w:rsidRPr="00E378CE">
        <w:rPr>
          <w:b/>
          <w:i/>
        </w:rPr>
        <w:t>* (i-1), где</w:t>
      </w:r>
    </w:p>
    <w:p w14:paraId="01ACB7D8" w14:textId="77777777" w:rsidR="00563982" w:rsidRPr="00E378CE" w:rsidRDefault="00563982" w:rsidP="00563982">
      <w:pPr>
        <w:ind w:firstLine="539"/>
        <w:jc w:val="both"/>
        <w:rPr>
          <w:b/>
          <w:i/>
        </w:rPr>
      </w:pPr>
      <w:r w:rsidRPr="00E378CE">
        <w:rPr>
          <w:b/>
          <w:i/>
        </w:rPr>
        <w:t>ДНР – дата начала размещения Биржевых облигаций, установленная в соответствии с пунктом 8.2 Программы и Условий выпуска;</w:t>
      </w:r>
    </w:p>
    <w:p w14:paraId="5A1594F7" w14:textId="492DDDAC" w:rsidR="00563982" w:rsidRPr="00E378CE" w:rsidRDefault="00563982" w:rsidP="00563982">
      <w:pPr>
        <w:ind w:firstLine="539"/>
        <w:jc w:val="both"/>
        <w:rPr>
          <w:b/>
          <w:i/>
        </w:rPr>
      </w:pPr>
      <w:r w:rsidRPr="00E378CE">
        <w:rPr>
          <w:b/>
          <w:i/>
        </w:rPr>
        <w:t xml:space="preserve">i - порядковый номер соответствующего купонного периода, </w:t>
      </w:r>
      <w:r w:rsidR="008F6910" w:rsidRPr="00E378CE">
        <w:rPr>
          <w:b/>
          <w:i/>
        </w:rPr>
        <w:t>(i=1,2,3,…</w:t>
      </w:r>
      <w:r w:rsidRPr="00E378CE">
        <w:rPr>
          <w:b/>
          <w:i/>
        </w:rPr>
        <w:t>,</w:t>
      </w:r>
      <w:r w:rsidR="0064527A" w:rsidRPr="00E378CE">
        <w:rPr>
          <w:b/>
          <w:i/>
        </w:rPr>
        <w:t>40</w:t>
      </w:r>
      <w:r w:rsidRPr="00E378CE">
        <w:rPr>
          <w:b/>
          <w:i/>
        </w:rPr>
        <w:t>);</w:t>
      </w:r>
    </w:p>
    <w:p w14:paraId="09009AC0" w14:textId="77777777" w:rsidR="00563982" w:rsidRPr="00E378CE" w:rsidRDefault="00563982" w:rsidP="00563982">
      <w:pPr>
        <w:ind w:firstLine="539"/>
        <w:jc w:val="both"/>
        <w:rPr>
          <w:b/>
          <w:i/>
        </w:rPr>
      </w:pPr>
      <w:r w:rsidRPr="00E378CE">
        <w:rPr>
          <w:b/>
          <w:i/>
        </w:rPr>
        <w:t>ДНКП(i) – дата начала i-го купонного периода.</w:t>
      </w:r>
    </w:p>
    <w:p w14:paraId="773D6D78" w14:textId="77777777" w:rsidR="00563982" w:rsidRPr="00E378CE" w:rsidRDefault="00563982" w:rsidP="00563982">
      <w:pPr>
        <w:ind w:firstLine="539"/>
        <w:jc w:val="both"/>
        <w:rPr>
          <w:b/>
          <w:i/>
        </w:rPr>
      </w:pPr>
    </w:p>
    <w:p w14:paraId="0A9D9DDE" w14:textId="77777777" w:rsidR="00563982" w:rsidRPr="00E378CE" w:rsidRDefault="00563982" w:rsidP="00563982">
      <w:pPr>
        <w:ind w:firstLine="539"/>
        <w:jc w:val="both"/>
        <w:rPr>
          <w:b/>
          <w:i/>
        </w:rPr>
      </w:pPr>
      <w:r w:rsidRPr="00E378CE">
        <w:rPr>
          <w:b/>
          <w:i/>
        </w:rPr>
        <w:t>Дата окончания каждого купонного периода определяется по формуле:</w:t>
      </w:r>
    </w:p>
    <w:p w14:paraId="5BBDF822" w14:textId="7C7A0ACC" w:rsidR="00563982" w:rsidRPr="00E378CE" w:rsidRDefault="00563982" w:rsidP="00563982">
      <w:pPr>
        <w:ind w:firstLine="539"/>
        <w:jc w:val="both"/>
        <w:rPr>
          <w:b/>
          <w:i/>
        </w:rPr>
      </w:pPr>
      <w:r w:rsidRPr="00E378CE">
        <w:rPr>
          <w:b/>
          <w:i/>
        </w:rPr>
        <w:t xml:space="preserve">ДОКП(i) = ДНР + </w:t>
      </w:r>
      <w:r w:rsidR="0064527A" w:rsidRPr="00E378CE">
        <w:rPr>
          <w:b/>
          <w:i/>
        </w:rPr>
        <w:t xml:space="preserve">91 </w:t>
      </w:r>
      <w:r w:rsidRPr="00E378CE">
        <w:rPr>
          <w:b/>
          <w:i/>
        </w:rPr>
        <w:t>* i, где</w:t>
      </w:r>
    </w:p>
    <w:p w14:paraId="21E509D1" w14:textId="77777777" w:rsidR="00563982" w:rsidRPr="00E378CE" w:rsidRDefault="00563982" w:rsidP="00563982">
      <w:pPr>
        <w:ind w:firstLine="539"/>
        <w:jc w:val="both"/>
        <w:rPr>
          <w:b/>
          <w:i/>
        </w:rPr>
      </w:pPr>
      <w:r w:rsidRPr="00E378CE">
        <w:rPr>
          <w:b/>
          <w:i/>
        </w:rPr>
        <w:t xml:space="preserve">ДНР – дата начала размещения Биржевых облигаций, установленная в соответствии с пунктом 8.2 Программы и Условий выпуска; </w:t>
      </w:r>
    </w:p>
    <w:p w14:paraId="6AB66C1E" w14:textId="2A8816E3" w:rsidR="00563982" w:rsidRPr="00E378CE" w:rsidRDefault="00563982" w:rsidP="00563982">
      <w:pPr>
        <w:ind w:firstLine="539"/>
        <w:jc w:val="both"/>
        <w:rPr>
          <w:b/>
          <w:i/>
        </w:rPr>
      </w:pPr>
      <w:r w:rsidRPr="00E378CE">
        <w:rPr>
          <w:b/>
          <w:i/>
        </w:rPr>
        <w:t xml:space="preserve">i - порядковый номер соответствующего купонного периода, </w:t>
      </w:r>
      <w:r w:rsidR="008F6910" w:rsidRPr="00E378CE">
        <w:rPr>
          <w:b/>
          <w:i/>
        </w:rPr>
        <w:t>(i=1,2,3,…,</w:t>
      </w:r>
      <w:r w:rsidR="0064527A" w:rsidRPr="00E378CE">
        <w:rPr>
          <w:b/>
          <w:i/>
        </w:rPr>
        <w:t>40</w:t>
      </w:r>
      <w:r w:rsidR="008F6910" w:rsidRPr="00E378CE">
        <w:rPr>
          <w:b/>
          <w:i/>
        </w:rPr>
        <w:t>);</w:t>
      </w:r>
    </w:p>
    <w:p w14:paraId="735EA8E4" w14:textId="77777777" w:rsidR="00563982" w:rsidRPr="00E378CE" w:rsidRDefault="00563982" w:rsidP="00563982">
      <w:pPr>
        <w:ind w:firstLine="539"/>
        <w:jc w:val="both"/>
        <w:rPr>
          <w:b/>
          <w:bCs/>
          <w:i/>
          <w:iCs/>
        </w:rPr>
      </w:pPr>
      <w:r w:rsidRPr="00E378CE">
        <w:rPr>
          <w:b/>
          <w:i/>
        </w:rPr>
        <w:t>ДОКП(i) – дата окончания i-го купонного периода.</w:t>
      </w:r>
    </w:p>
    <w:p w14:paraId="7D3900A1" w14:textId="77777777" w:rsidR="00083973" w:rsidRPr="00E378CE" w:rsidRDefault="00083973" w:rsidP="00083973">
      <w:pPr>
        <w:ind w:firstLine="567"/>
        <w:jc w:val="both"/>
        <w:rPr>
          <w:b/>
          <w:i/>
        </w:rPr>
      </w:pPr>
    </w:p>
    <w:p w14:paraId="0EDA24AA" w14:textId="77777777" w:rsidR="00083973" w:rsidRPr="00E378CE" w:rsidRDefault="00083973" w:rsidP="00083973">
      <w:pPr>
        <w:ind w:firstLine="539"/>
        <w:jc w:val="both"/>
      </w:pPr>
      <w:r w:rsidRPr="00E378CE">
        <w:t>Порядок определения процентной ставки по</w:t>
      </w:r>
      <w:r w:rsidRPr="00E378CE" w:rsidDel="00C90BAE">
        <w:t xml:space="preserve"> </w:t>
      </w:r>
      <w:r w:rsidRPr="00E378CE">
        <w:t>первому купону:</w:t>
      </w:r>
    </w:p>
    <w:p w14:paraId="61BD511E" w14:textId="77777777" w:rsidR="00083973" w:rsidRPr="00E378CE" w:rsidRDefault="00083973" w:rsidP="00083973">
      <w:pPr>
        <w:adjustRightInd w:val="0"/>
        <w:ind w:firstLine="539"/>
        <w:jc w:val="both"/>
        <w:rPr>
          <w:b/>
          <w:bCs/>
          <w:i/>
        </w:rPr>
      </w:pPr>
      <w:r w:rsidRPr="00E378CE">
        <w:rPr>
          <w:b/>
          <w:bCs/>
          <w:i/>
        </w:rPr>
        <w:t xml:space="preserve">Процентная ставка по первому купону определяется единоличным исполнительным органом Эмитента до даты начала размещения Биржевых облигаций в порядке, описанном в </w:t>
      </w:r>
      <w:r w:rsidRPr="00E378CE">
        <w:rPr>
          <w:b/>
          <w:bCs/>
          <w:i/>
          <w:iCs/>
        </w:rPr>
        <w:t xml:space="preserve">подпункте 2) </w:t>
      </w:r>
      <w:r w:rsidRPr="00E378CE">
        <w:rPr>
          <w:b/>
          <w:bCs/>
          <w:i/>
        </w:rPr>
        <w:t>пункта 8.3. Программы.</w:t>
      </w:r>
    </w:p>
    <w:p w14:paraId="36DDD10D" w14:textId="77777777" w:rsidR="00083973" w:rsidRPr="00E378CE" w:rsidRDefault="00083973" w:rsidP="00083973">
      <w:pPr>
        <w:ind w:firstLine="539"/>
        <w:jc w:val="both"/>
        <w:rPr>
          <w:b/>
          <w:i/>
        </w:rPr>
      </w:pPr>
      <w:r w:rsidRPr="00E378CE">
        <w:rPr>
          <w:b/>
          <w:i/>
        </w:rPr>
        <w:t>Информация о величине процентной ставки купона на первый купонный период раскрывается Эмитентом в соответствии с пунктом 11 Программы.</w:t>
      </w:r>
    </w:p>
    <w:p w14:paraId="76A9C1CD" w14:textId="77777777" w:rsidR="00083973" w:rsidRPr="00E378CE" w:rsidRDefault="00083973" w:rsidP="00083973">
      <w:pPr>
        <w:adjustRightInd w:val="0"/>
        <w:ind w:firstLine="539"/>
        <w:jc w:val="both"/>
        <w:rPr>
          <w:b/>
          <w:bCs/>
          <w:i/>
        </w:rPr>
      </w:pPr>
    </w:p>
    <w:p w14:paraId="697CCCC2" w14:textId="77777777" w:rsidR="00083973" w:rsidRPr="00E378CE" w:rsidRDefault="00083973" w:rsidP="00083973">
      <w:pPr>
        <w:adjustRightInd w:val="0"/>
        <w:ind w:firstLine="539"/>
        <w:jc w:val="both"/>
      </w:pPr>
      <w:r w:rsidRPr="00E378CE">
        <w:t>Порядок определения процентной ставки по купонам, начиная со второго:</w:t>
      </w:r>
    </w:p>
    <w:p w14:paraId="73C80EE8" w14:textId="411BCE13" w:rsidR="00083973" w:rsidRPr="00E378CE" w:rsidRDefault="00D91273" w:rsidP="00083973">
      <w:pPr>
        <w:adjustRightInd w:val="0"/>
        <w:ind w:firstLine="540"/>
        <w:jc w:val="both"/>
        <w:rPr>
          <w:b/>
          <w:bCs/>
          <w:i/>
          <w:iCs/>
        </w:rPr>
      </w:pPr>
      <w:r w:rsidRPr="00E378CE">
        <w:rPr>
          <w:b/>
          <w:bCs/>
          <w:i/>
          <w:iCs/>
        </w:rPr>
        <w:t>Процентные ставки по купонам, начиная с второго, определяются в порядке, установленном в</w:t>
      </w:r>
      <w:r w:rsidR="00183629" w:rsidRPr="00E378CE">
        <w:rPr>
          <w:b/>
          <w:bCs/>
          <w:i/>
          <w:iCs/>
        </w:rPr>
        <w:t xml:space="preserve"> ппп. б)</w:t>
      </w:r>
      <w:r w:rsidRPr="00E378CE">
        <w:rPr>
          <w:b/>
          <w:bCs/>
          <w:i/>
          <w:iCs/>
        </w:rPr>
        <w:t xml:space="preserve"> пп. «Порядок определения процентной ставки по купонам, начиная со второго» пункта 9.3. Программы.</w:t>
      </w:r>
    </w:p>
    <w:p w14:paraId="4C3CB98D" w14:textId="3C433643" w:rsidR="003D1C6E" w:rsidRPr="00E378CE" w:rsidRDefault="006F40EB" w:rsidP="00D5007D">
      <w:pPr>
        <w:ind w:firstLine="567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Эмитент в течение срока обращения Биржевых облигаций вправе принять решение об изменении установленн</w:t>
      </w:r>
      <w:r w:rsidR="00042E60" w:rsidRPr="00E378CE">
        <w:rPr>
          <w:rFonts w:cs="Times New Roman"/>
          <w:b/>
          <w:bCs/>
          <w:i/>
          <w:iCs/>
        </w:rPr>
        <w:t>ых</w:t>
      </w:r>
      <w:r w:rsidRPr="00E378CE">
        <w:rPr>
          <w:rFonts w:cs="Times New Roman"/>
          <w:b/>
          <w:bCs/>
          <w:i/>
          <w:iCs/>
        </w:rPr>
        <w:t xml:space="preserve"> ранее</w:t>
      </w:r>
      <w:r w:rsidR="00042E60" w:rsidRPr="00E378CE">
        <w:rPr>
          <w:rFonts w:cs="Times New Roman"/>
          <w:b/>
          <w:bCs/>
          <w:i/>
          <w:iCs/>
        </w:rPr>
        <w:t xml:space="preserve"> процентных ставок (</w:t>
      </w:r>
      <w:r w:rsidRPr="00E378CE">
        <w:rPr>
          <w:rFonts w:cs="Times New Roman"/>
          <w:b/>
          <w:bCs/>
          <w:i/>
          <w:iCs/>
        </w:rPr>
        <w:t>порядка определения процентных ставок</w:t>
      </w:r>
      <w:r w:rsidR="00042E60" w:rsidRPr="00E378CE">
        <w:rPr>
          <w:rFonts w:cs="Times New Roman"/>
          <w:b/>
          <w:bCs/>
          <w:i/>
          <w:iCs/>
        </w:rPr>
        <w:t>)</w:t>
      </w:r>
      <w:r w:rsidRPr="00E378CE">
        <w:rPr>
          <w:rFonts w:cs="Times New Roman"/>
          <w:b/>
          <w:bCs/>
          <w:i/>
          <w:iCs/>
        </w:rPr>
        <w:t xml:space="preserve"> по купонам, начиная со второго.</w:t>
      </w:r>
      <w:r w:rsidR="001730C2" w:rsidRPr="00E378CE">
        <w:rPr>
          <w:rFonts w:cs="Times New Roman"/>
          <w:b/>
          <w:bCs/>
          <w:i/>
          <w:iCs/>
        </w:rPr>
        <w:t xml:space="preserve"> </w:t>
      </w:r>
      <w:r w:rsidRPr="00E378CE">
        <w:rPr>
          <w:rFonts w:cs="Times New Roman"/>
          <w:b/>
          <w:bCs/>
          <w:i/>
          <w:iCs/>
        </w:rPr>
        <w:t xml:space="preserve">При этом изменение </w:t>
      </w:r>
      <w:r w:rsidR="00042E60" w:rsidRPr="00E378CE">
        <w:rPr>
          <w:rFonts w:cs="Times New Roman"/>
          <w:b/>
          <w:bCs/>
          <w:i/>
          <w:iCs/>
        </w:rPr>
        <w:t>процентных ставок (</w:t>
      </w:r>
      <w:r w:rsidRPr="00E378CE">
        <w:rPr>
          <w:rFonts w:cs="Times New Roman"/>
          <w:b/>
          <w:bCs/>
          <w:i/>
          <w:iCs/>
        </w:rPr>
        <w:t>порядка определения процентных ставок</w:t>
      </w:r>
      <w:r w:rsidR="00042E60" w:rsidRPr="00E378CE">
        <w:rPr>
          <w:rFonts w:cs="Times New Roman"/>
          <w:b/>
          <w:bCs/>
          <w:i/>
          <w:iCs/>
        </w:rPr>
        <w:t>)</w:t>
      </w:r>
      <w:r w:rsidRPr="00E378CE">
        <w:rPr>
          <w:rFonts w:cs="Times New Roman"/>
          <w:b/>
          <w:bCs/>
          <w:i/>
          <w:iCs/>
        </w:rPr>
        <w:t xml:space="preserve"> по купонам, начиная со второго, проводится в </w:t>
      </w:r>
      <w:r w:rsidR="00CF2C4D" w:rsidRPr="00E378CE">
        <w:rPr>
          <w:rFonts w:cs="Times New Roman"/>
          <w:b/>
          <w:bCs/>
          <w:i/>
          <w:iCs/>
        </w:rPr>
        <w:t>сроки</w:t>
      </w:r>
      <w:r w:rsidRPr="00E378CE">
        <w:rPr>
          <w:rFonts w:cs="Times New Roman"/>
          <w:b/>
          <w:bCs/>
          <w:i/>
          <w:iCs/>
        </w:rPr>
        <w:t xml:space="preserve">, </w:t>
      </w:r>
      <w:r w:rsidR="00582CC3" w:rsidRPr="00E378CE">
        <w:rPr>
          <w:rFonts w:cs="Times New Roman"/>
          <w:b/>
          <w:bCs/>
          <w:i/>
          <w:iCs/>
        </w:rPr>
        <w:t>установленн</w:t>
      </w:r>
      <w:r w:rsidR="00CF2C4D" w:rsidRPr="00E378CE">
        <w:rPr>
          <w:rFonts w:cs="Times New Roman"/>
          <w:b/>
          <w:bCs/>
          <w:i/>
          <w:iCs/>
        </w:rPr>
        <w:t>ые</w:t>
      </w:r>
      <w:r w:rsidR="00582CC3" w:rsidRPr="00E378CE">
        <w:rPr>
          <w:rFonts w:cs="Times New Roman"/>
          <w:b/>
          <w:bCs/>
          <w:i/>
          <w:iCs/>
        </w:rPr>
        <w:t xml:space="preserve"> п</w:t>
      </w:r>
      <w:r w:rsidR="00CF2C4D" w:rsidRPr="00E378CE">
        <w:rPr>
          <w:rFonts w:cs="Times New Roman"/>
          <w:b/>
          <w:bCs/>
          <w:i/>
          <w:iCs/>
        </w:rPr>
        <w:t>одупкнтом</w:t>
      </w:r>
      <w:r w:rsidR="00582CC3" w:rsidRPr="00E378CE">
        <w:rPr>
          <w:rFonts w:cs="Times New Roman"/>
          <w:b/>
          <w:bCs/>
          <w:i/>
          <w:iCs/>
        </w:rPr>
        <w:t xml:space="preserve"> б) </w:t>
      </w:r>
      <w:r w:rsidR="00CF2C4D" w:rsidRPr="00E378CE">
        <w:rPr>
          <w:rFonts w:cs="Times New Roman"/>
          <w:b/>
          <w:bCs/>
          <w:i/>
          <w:iCs/>
        </w:rPr>
        <w:t>части</w:t>
      </w:r>
      <w:r w:rsidR="00582CC3" w:rsidRPr="00E378CE">
        <w:rPr>
          <w:rFonts w:cs="Times New Roman"/>
          <w:b/>
          <w:bCs/>
          <w:i/>
          <w:iCs/>
        </w:rPr>
        <w:t xml:space="preserve"> «Порядок определения процентной ставки по купонам, начиная со второго» пункта 9.3. Программы</w:t>
      </w:r>
      <w:r w:rsidRPr="00E378CE">
        <w:rPr>
          <w:rFonts w:cs="Times New Roman"/>
          <w:b/>
          <w:bCs/>
          <w:i/>
          <w:iCs/>
        </w:rPr>
        <w:t>.</w:t>
      </w:r>
    </w:p>
    <w:p w14:paraId="3E89D742" w14:textId="74166817" w:rsidR="00582CC3" w:rsidRPr="00E378CE" w:rsidRDefault="00582CC3" w:rsidP="00D5007D">
      <w:pPr>
        <w:ind w:firstLine="567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 xml:space="preserve">Приобретая </w:t>
      </w:r>
      <w:r w:rsidR="00A86EE5" w:rsidRPr="00E378CE">
        <w:rPr>
          <w:rFonts w:cs="Times New Roman"/>
          <w:b/>
          <w:bCs/>
          <w:i/>
          <w:iCs/>
        </w:rPr>
        <w:t>Б</w:t>
      </w:r>
      <w:r w:rsidRPr="00E378CE">
        <w:rPr>
          <w:rFonts w:cs="Times New Roman"/>
          <w:b/>
          <w:bCs/>
          <w:i/>
          <w:iCs/>
        </w:rPr>
        <w:t>иржевые облигации настоящего выпуска</w:t>
      </w:r>
      <w:r w:rsidR="00A86EE5" w:rsidRPr="00E378CE">
        <w:rPr>
          <w:rFonts w:cs="Times New Roman"/>
          <w:b/>
          <w:bCs/>
          <w:i/>
          <w:iCs/>
        </w:rPr>
        <w:t>,</w:t>
      </w:r>
      <w:r w:rsidRPr="00E378CE">
        <w:rPr>
          <w:rFonts w:cs="Times New Roman"/>
          <w:b/>
          <w:bCs/>
          <w:i/>
          <w:iCs/>
        </w:rPr>
        <w:t xml:space="preserve"> потенциальный приобретатель соглашается с возможностью принятия Эмитентом в течение срока обращения </w:t>
      </w:r>
      <w:r w:rsidR="00A86EE5" w:rsidRPr="00E378CE">
        <w:rPr>
          <w:rFonts w:cs="Times New Roman"/>
          <w:b/>
          <w:bCs/>
          <w:i/>
          <w:iCs/>
        </w:rPr>
        <w:t>Б</w:t>
      </w:r>
      <w:r w:rsidRPr="00E378CE">
        <w:rPr>
          <w:rFonts w:cs="Times New Roman"/>
          <w:b/>
          <w:bCs/>
          <w:i/>
          <w:iCs/>
        </w:rPr>
        <w:t>иржевых облигаций настоящего выпуска решения об изменении установленных ранее процентных ставок (порядка определения процентных ставок) по купонам, начиная со второго.</w:t>
      </w:r>
    </w:p>
    <w:p w14:paraId="0590BD8B" w14:textId="4E3B190C" w:rsidR="00D5007D" w:rsidRPr="00E378CE" w:rsidRDefault="00D5007D" w:rsidP="00D5007D">
      <w:pPr>
        <w:ind w:firstLine="567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Информация об изменении установленного ранее порядка определения процентных ставок по купонам, начиная со второго,</w:t>
      </w:r>
      <w:r w:rsidRPr="00E378CE">
        <w:t xml:space="preserve"> </w:t>
      </w:r>
      <w:r w:rsidRPr="00E378CE">
        <w:rPr>
          <w:rFonts w:cs="Times New Roman"/>
          <w:b/>
          <w:bCs/>
          <w:i/>
          <w:iCs/>
        </w:rPr>
        <w:t>раскрывается Эмитентом в соответствии с пунктом 11 Условий.</w:t>
      </w:r>
    </w:p>
    <w:p w14:paraId="791EDE8C" w14:textId="330A0563" w:rsidR="00D5007D" w:rsidRPr="00E378CE" w:rsidRDefault="00A579B6" w:rsidP="00D5007D">
      <w:pPr>
        <w:ind w:firstLine="567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Во избежание сомнений, Эмитент не может принять решение об изменении процентной ставки (порядка определения процентной ставки) по текущему купонному периоду.</w:t>
      </w:r>
    </w:p>
    <w:p w14:paraId="0FACC57A" w14:textId="77777777" w:rsidR="00A579B6" w:rsidRPr="00E378CE" w:rsidRDefault="00A579B6" w:rsidP="00D5007D">
      <w:pPr>
        <w:ind w:firstLine="567"/>
        <w:jc w:val="both"/>
        <w:rPr>
          <w:rFonts w:cs="Times New Roman"/>
          <w:b/>
          <w:bCs/>
          <w:i/>
          <w:iCs/>
        </w:rPr>
      </w:pPr>
    </w:p>
    <w:p w14:paraId="1DAA4801" w14:textId="772BA7AC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Иные сведения, подлежащие указанию в на</w:t>
      </w:r>
      <w:r w:rsidR="00F8245E" w:rsidRPr="00E378CE">
        <w:rPr>
          <w:rFonts w:cs="Times New Roman"/>
          <w:b/>
          <w:bCs/>
          <w:i/>
          <w:iCs/>
        </w:rPr>
        <w:t xml:space="preserve">стоящем пункте, приведены в </w:t>
      </w:r>
      <w:r w:rsidRPr="00E378CE">
        <w:rPr>
          <w:rFonts w:cs="Times New Roman"/>
          <w:b/>
          <w:bCs/>
          <w:i/>
          <w:iCs/>
        </w:rPr>
        <w:t>п. 9.3 Программы.</w:t>
      </w:r>
    </w:p>
    <w:p w14:paraId="2898FEC5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</w:p>
    <w:p w14:paraId="10728C15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9.4. Порядок и срок выплаты дохода по облигациям</w:t>
      </w:r>
    </w:p>
    <w:p w14:paraId="1574C42B" w14:textId="17AC47C2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 xml:space="preserve">Купонный доход по Биржевым облигациям, начисляемый за </w:t>
      </w:r>
      <w:r w:rsidR="001626FF" w:rsidRPr="00E378CE">
        <w:rPr>
          <w:rFonts w:cs="Times New Roman"/>
          <w:b/>
          <w:bCs/>
          <w:i/>
          <w:iCs/>
        </w:rPr>
        <w:t xml:space="preserve">каждый </w:t>
      </w:r>
      <w:r w:rsidRPr="00E378CE">
        <w:rPr>
          <w:rFonts w:cs="Times New Roman"/>
          <w:b/>
          <w:bCs/>
          <w:i/>
          <w:iCs/>
        </w:rPr>
        <w:t xml:space="preserve">купонный период, выплачивается в дату окончания </w:t>
      </w:r>
      <w:r w:rsidR="001626FF" w:rsidRPr="00E378CE">
        <w:rPr>
          <w:rFonts w:cs="Times New Roman"/>
          <w:b/>
          <w:bCs/>
          <w:i/>
          <w:iCs/>
        </w:rPr>
        <w:t xml:space="preserve">соответствующего </w:t>
      </w:r>
      <w:r w:rsidRPr="00E378CE">
        <w:rPr>
          <w:rFonts w:cs="Times New Roman"/>
          <w:b/>
          <w:bCs/>
          <w:i/>
          <w:iCs/>
        </w:rPr>
        <w:t>купонного периода. Порядок определения даты окончания купонного периода по Биржевым облигациям указан в п. 9.3 Условий выпуска.</w:t>
      </w:r>
    </w:p>
    <w:p w14:paraId="3B96647D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Выплата купонного дохода по Биржевым облигациям производится денежными средствами в рублях Российской Федерации в безналичном порядке.</w:t>
      </w:r>
    </w:p>
    <w:p w14:paraId="1399D219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Иные сведения, подлежащие указанию в настоящем пункте, приведены в п. 9.4 Программы.</w:t>
      </w:r>
    </w:p>
    <w:p w14:paraId="0F1DD5E3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6A31FEA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9.5. Порядок и условия досрочного погашения облигаций</w:t>
      </w:r>
    </w:p>
    <w:p w14:paraId="0546CE9F" w14:textId="3A6FC2A4" w:rsidR="00AC6606" w:rsidRPr="00E378CE" w:rsidRDefault="00AC6606" w:rsidP="00AC6606">
      <w:pPr>
        <w:autoSpaceDE w:val="0"/>
        <w:autoSpaceDN w:val="0"/>
        <w:ind w:firstLine="539"/>
        <w:jc w:val="both"/>
        <w:rPr>
          <w:b/>
          <w:i/>
        </w:rPr>
      </w:pPr>
      <w:r w:rsidRPr="00E378CE">
        <w:rPr>
          <w:b/>
          <w:i/>
        </w:rPr>
        <w:t>Предусмотрена возможность досрочного погашения Биржевых облигаций по требованию их владельцев</w:t>
      </w:r>
      <w:r w:rsidR="009D6A63" w:rsidRPr="00E378CE">
        <w:rPr>
          <w:b/>
          <w:i/>
        </w:rPr>
        <w:t xml:space="preserve"> и по усмотрению Эмитента</w:t>
      </w:r>
      <w:r w:rsidRPr="00E378CE">
        <w:rPr>
          <w:b/>
          <w:i/>
        </w:rPr>
        <w:t>.</w:t>
      </w:r>
    </w:p>
    <w:p w14:paraId="08714C15" w14:textId="77777777" w:rsidR="00AC6606" w:rsidRPr="00E378CE" w:rsidRDefault="00AC6606" w:rsidP="00AC6606">
      <w:pPr>
        <w:autoSpaceDE w:val="0"/>
        <w:autoSpaceDN w:val="0"/>
        <w:ind w:firstLine="539"/>
        <w:jc w:val="both"/>
        <w:rPr>
          <w:b/>
          <w:i/>
        </w:rPr>
      </w:pPr>
      <w:r w:rsidRPr="00E378CE">
        <w:rPr>
          <w:b/>
          <w:i/>
        </w:rPr>
        <w:t xml:space="preserve">Досрочное погашение Биржевых облигаций допускается только после их полной оплаты. </w:t>
      </w:r>
    </w:p>
    <w:p w14:paraId="4192DFC5" w14:textId="70E70DA7" w:rsidR="00083973" w:rsidRPr="00E378CE" w:rsidRDefault="00AC6606" w:rsidP="00AC6606">
      <w:pPr>
        <w:autoSpaceDE w:val="0"/>
        <w:autoSpaceDN w:val="0"/>
        <w:ind w:firstLine="539"/>
        <w:jc w:val="both"/>
        <w:rPr>
          <w:b/>
          <w:i/>
        </w:rPr>
      </w:pPr>
      <w:r w:rsidRPr="00E378CE">
        <w:rPr>
          <w:b/>
          <w:i/>
        </w:rPr>
        <w:t>Биржевые облигации, погашенные Эмитентом досрочно, не могут быть вновь выпущены в обращение.</w:t>
      </w:r>
    </w:p>
    <w:p w14:paraId="6C314730" w14:textId="77777777" w:rsidR="00083973" w:rsidRPr="00E378CE" w:rsidRDefault="00083973" w:rsidP="00083973">
      <w:pPr>
        <w:autoSpaceDE w:val="0"/>
        <w:autoSpaceDN w:val="0"/>
        <w:ind w:firstLine="539"/>
        <w:jc w:val="both"/>
      </w:pPr>
    </w:p>
    <w:p w14:paraId="3984E291" w14:textId="77777777" w:rsidR="00083973" w:rsidRPr="00E378CE" w:rsidRDefault="00083973" w:rsidP="00083973">
      <w:pPr>
        <w:autoSpaceDE w:val="0"/>
        <w:autoSpaceDN w:val="0"/>
        <w:ind w:firstLine="539"/>
        <w:jc w:val="both"/>
      </w:pPr>
      <w:r w:rsidRPr="00E378CE">
        <w:t>9.5.1 Досрочное погашение по требованию их владельцев</w:t>
      </w:r>
    </w:p>
    <w:p w14:paraId="148EDBE5" w14:textId="77777777" w:rsidR="000D5F48" w:rsidRPr="00E378CE" w:rsidRDefault="000D5F48" w:rsidP="000D5F48">
      <w:pPr>
        <w:pStyle w:val="Basetext"/>
        <w:rPr>
          <w:szCs w:val="22"/>
        </w:rPr>
      </w:pPr>
      <w:r w:rsidRPr="00E378CE">
        <w:rPr>
          <w:szCs w:val="22"/>
        </w:rPr>
        <w:t>9.5.1.1. Владельцы Биржевых облигаций вправе предъявить их к досрочному погашению в случае делистинга Биржевых облигаций на всех биржах, осуществивших их допуск к организованным торгам.</w:t>
      </w:r>
    </w:p>
    <w:p w14:paraId="21C4AFCD" w14:textId="3565D455" w:rsidR="00AC6606" w:rsidRPr="00E378CE" w:rsidRDefault="00AC6606" w:rsidP="00AC6606">
      <w:pPr>
        <w:autoSpaceDE w:val="0"/>
        <w:autoSpaceDN w:val="0"/>
        <w:ind w:firstLine="539"/>
        <w:jc w:val="both"/>
        <w:rPr>
          <w:b/>
          <w:i/>
        </w:rPr>
      </w:pPr>
      <w:r w:rsidRPr="00E378CE">
        <w:rPr>
          <w:b/>
          <w:i/>
        </w:rPr>
        <w:t>Сведения о порядке и условиях досрочного погашения Биржевых облигаций по требованию их владельцев, подлежащие указанию в настоящем пункте, приведены в пункте 9.5.1</w:t>
      </w:r>
      <w:r w:rsidR="000D5F48" w:rsidRPr="00E378CE">
        <w:rPr>
          <w:b/>
          <w:i/>
        </w:rPr>
        <w:t>.1.</w:t>
      </w:r>
      <w:r w:rsidRPr="00E378CE">
        <w:rPr>
          <w:b/>
          <w:i/>
        </w:rPr>
        <w:t xml:space="preserve"> Программы. </w:t>
      </w:r>
    </w:p>
    <w:p w14:paraId="59CC58C3" w14:textId="23F78377" w:rsidR="000D5F48" w:rsidRPr="00E378CE" w:rsidRDefault="000D5F48" w:rsidP="00AC6606">
      <w:pPr>
        <w:autoSpaceDE w:val="0"/>
        <w:autoSpaceDN w:val="0"/>
        <w:ind w:firstLine="539"/>
        <w:jc w:val="both"/>
        <w:rPr>
          <w:b/>
          <w:i/>
        </w:rPr>
      </w:pPr>
      <w:r w:rsidRPr="00E378CE">
        <w:t xml:space="preserve">9.5.1.2. </w:t>
      </w:r>
    </w:p>
    <w:p w14:paraId="532CDF1C" w14:textId="305AA464" w:rsidR="003E4689" w:rsidRPr="00E378CE" w:rsidRDefault="001730C2" w:rsidP="00AC6606">
      <w:pPr>
        <w:autoSpaceDE w:val="0"/>
        <w:autoSpaceDN w:val="0"/>
        <w:ind w:firstLine="539"/>
        <w:jc w:val="both"/>
        <w:rPr>
          <w:b/>
          <w:i/>
        </w:rPr>
      </w:pPr>
      <w:r w:rsidRPr="00E378CE">
        <w:rPr>
          <w:b/>
          <w:i/>
        </w:rPr>
        <w:t>Владельцы Биржевых облигаций имеют право требовать досрочного погашения Биржевых облигац</w:t>
      </w:r>
      <w:r w:rsidR="000714AC" w:rsidRPr="00E378CE">
        <w:rPr>
          <w:b/>
          <w:i/>
        </w:rPr>
        <w:t>и</w:t>
      </w:r>
      <w:r w:rsidRPr="00E378CE">
        <w:rPr>
          <w:b/>
          <w:i/>
        </w:rPr>
        <w:t xml:space="preserve">й </w:t>
      </w:r>
      <w:r w:rsidR="00C01094" w:rsidRPr="00E378CE">
        <w:rPr>
          <w:b/>
          <w:i/>
        </w:rPr>
        <w:t>в каждом купонном периоде, за исключением последнего купонного периода</w:t>
      </w:r>
      <w:r w:rsidR="003E4689" w:rsidRPr="00E378CE">
        <w:rPr>
          <w:b/>
          <w:i/>
        </w:rPr>
        <w:t>.</w:t>
      </w:r>
    </w:p>
    <w:p w14:paraId="21E5F10D" w14:textId="77777777" w:rsidR="000F2F85" w:rsidRPr="00E378CE" w:rsidRDefault="000F2F85" w:rsidP="000F2F85">
      <w:pPr>
        <w:autoSpaceDE w:val="0"/>
        <w:autoSpaceDN w:val="0"/>
        <w:ind w:firstLine="539"/>
        <w:jc w:val="both"/>
        <w:rPr>
          <w:b/>
          <w:i/>
        </w:rPr>
      </w:pPr>
      <w:r w:rsidRPr="00E378CE">
        <w:rPr>
          <w:b/>
          <w:i/>
        </w:rPr>
        <w:lastRenderedPageBreak/>
        <w:t>Требования (заявления) о досрочном погашении Биржевых облигаций в каждом купонном периоде, за исключением последнего купонного периода, направляются в течение 15 последних рабочих дней каждого купонного периода, за исключением последнего купонного периода.</w:t>
      </w:r>
    </w:p>
    <w:p w14:paraId="579F3371" w14:textId="77777777" w:rsidR="00EF06E7" w:rsidRPr="00E378CE" w:rsidRDefault="00EF06E7" w:rsidP="00EF06E7">
      <w:pPr>
        <w:autoSpaceDE w:val="0"/>
        <w:autoSpaceDN w:val="0"/>
        <w:ind w:firstLine="539"/>
        <w:jc w:val="both"/>
        <w:rPr>
          <w:b/>
          <w:i/>
        </w:rPr>
      </w:pPr>
      <w:r w:rsidRPr="00E378CE">
        <w:rPr>
          <w:b/>
          <w:i/>
        </w:rPr>
        <w:t>Досрочное погашение Биржевых облигаций по требованию их владельцев производится денежными средствами в безналичном порядке в рублях Российской Федерации.</w:t>
      </w:r>
    </w:p>
    <w:p w14:paraId="1497E4DC" w14:textId="19BEE2C5" w:rsidR="00EF06E7" w:rsidRPr="00E378CE" w:rsidRDefault="00EF06E7" w:rsidP="00EF06E7">
      <w:pPr>
        <w:autoSpaceDE w:val="0"/>
        <w:autoSpaceDN w:val="0"/>
        <w:ind w:firstLine="539"/>
        <w:jc w:val="both"/>
        <w:rPr>
          <w:b/>
          <w:i/>
        </w:rPr>
      </w:pPr>
      <w:r w:rsidRPr="00E378CE">
        <w:rPr>
          <w:b/>
          <w:i/>
        </w:rPr>
        <w:t xml:space="preserve">Иные сведения о порядке и условиях досрочного погашения Биржевых облигаций по требованию их владельцев, подлежащие указанию в настоящем пункте, приведены в пункте 9.5.1.2. Программы. </w:t>
      </w:r>
    </w:p>
    <w:p w14:paraId="5449DE36" w14:textId="77777777" w:rsidR="00AC6606" w:rsidRPr="00E378CE" w:rsidRDefault="00AC6606" w:rsidP="00083973">
      <w:pPr>
        <w:autoSpaceDE w:val="0"/>
        <w:autoSpaceDN w:val="0"/>
        <w:ind w:firstLine="539"/>
        <w:jc w:val="both"/>
      </w:pPr>
    </w:p>
    <w:p w14:paraId="42822498" w14:textId="77777777" w:rsidR="00083973" w:rsidRPr="00E378CE" w:rsidRDefault="00083973" w:rsidP="00083973">
      <w:pPr>
        <w:autoSpaceDE w:val="0"/>
        <w:autoSpaceDN w:val="0"/>
        <w:ind w:firstLine="539"/>
        <w:jc w:val="both"/>
      </w:pPr>
      <w:r w:rsidRPr="00E378CE">
        <w:t>9.5.2 Досрочное погашение по усмотрению эмитента</w:t>
      </w:r>
    </w:p>
    <w:p w14:paraId="35556D4A" w14:textId="660B9162" w:rsidR="00CA32FC" w:rsidRPr="00E378CE" w:rsidRDefault="00CA32FC" w:rsidP="00CA32FC">
      <w:pPr>
        <w:ind w:firstLine="567"/>
        <w:jc w:val="both"/>
        <w:rPr>
          <w:b/>
          <w:i/>
        </w:rPr>
      </w:pPr>
      <w:r w:rsidRPr="00E378CE">
        <w:rPr>
          <w:b/>
          <w:i/>
        </w:rPr>
        <w:t>Возможность досрочного погашения Биржевых облигаций по усмотрению Эмитента в соответствии с п. 9.5.2.1. Программы отсутствует.</w:t>
      </w:r>
    </w:p>
    <w:p w14:paraId="294E7305" w14:textId="1E2B86BC" w:rsidR="00CA32FC" w:rsidRPr="00E378CE" w:rsidRDefault="00CA32FC" w:rsidP="00CA32FC">
      <w:pPr>
        <w:ind w:firstLine="567"/>
        <w:jc w:val="both"/>
        <w:rPr>
          <w:b/>
          <w:i/>
        </w:rPr>
      </w:pPr>
      <w:r w:rsidRPr="00E378CE">
        <w:rPr>
          <w:b/>
          <w:i/>
        </w:rPr>
        <w:t>Возможность частичного досрочного погашения Биржевых облигаций по усмотрению Эмитента в соответствии с п. 9.5.2.2. Программы отсутствует.</w:t>
      </w:r>
    </w:p>
    <w:p w14:paraId="419F5711" w14:textId="4CE75AC7" w:rsidR="00CA32FC" w:rsidRPr="00E378CE" w:rsidRDefault="00CA32FC" w:rsidP="00CA32FC">
      <w:pPr>
        <w:ind w:firstLine="567"/>
        <w:jc w:val="both"/>
        <w:rPr>
          <w:b/>
          <w:i/>
        </w:rPr>
      </w:pPr>
      <w:r w:rsidRPr="00E378CE">
        <w:rPr>
          <w:b/>
          <w:i/>
        </w:rPr>
        <w:t>Возможность досрочного погашения Биржевых облигаций по усмотрению Эмитента в соответствии с п. 9.5.2.3. Программы предусмотрена.</w:t>
      </w:r>
    </w:p>
    <w:p w14:paraId="18DBEF42" w14:textId="77777777" w:rsidR="00CA32FC" w:rsidRPr="00E378CE" w:rsidRDefault="00CA32FC" w:rsidP="00CA32FC">
      <w:pPr>
        <w:ind w:firstLine="567"/>
        <w:jc w:val="both"/>
        <w:rPr>
          <w:b/>
          <w:i/>
        </w:rPr>
      </w:pPr>
      <w:r w:rsidRPr="00E378CE">
        <w:rPr>
          <w:b/>
          <w:i/>
        </w:rPr>
        <w:t>Сведения о порядке и условиях такого досрочного погашения Биржевых облигаций по усмотрению Эмитента указаны в п. 9.5.2.3. и п. 9.5.2.4. Программы.</w:t>
      </w:r>
    </w:p>
    <w:p w14:paraId="16AB2B60" w14:textId="77777777" w:rsidR="009B3659" w:rsidRPr="00E378CE" w:rsidRDefault="009B3659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8050C4" w14:textId="62C0B9F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9.6. Сведения о платежных агентах по облигациям</w:t>
      </w:r>
    </w:p>
    <w:p w14:paraId="72A746A4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На дату утверждения Условий выпуска платежный агент не назначен.</w:t>
      </w:r>
    </w:p>
    <w:p w14:paraId="164E00CF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Сведения, подлежащие указанию в настоящем пункте, приведены в п. 9.6 Программы.</w:t>
      </w:r>
    </w:p>
    <w:p w14:paraId="4981C929" w14:textId="77777777" w:rsidR="00083973" w:rsidRPr="00E378CE" w:rsidRDefault="00083973" w:rsidP="00083973">
      <w:pPr>
        <w:pStyle w:val="ConsPlusNormal"/>
        <w:jc w:val="both"/>
        <w:rPr>
          <w:rFonts w:ascii="Times New Roman" w:hAnsi="Times New Roman" w:cs="Times New Roman"/>
        </w:rPr>
      </w:pPr>
    </w:p>
    <w:p w14:paraId="130EFA12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10. Сведения о приобретении облигаций</w:t>
      </w:r>
    </w:p>
    <w:p w14:paraId="409C45A7" w14:textId="7A7A4176" w:rsidR="00083973" w:rsidRPr="00E378CE" w:rsidRDefault="00083973" w:rsidP="00083973">
      <w:pPr>
        <w:adjustRightInd w:val="0"/>
        <w:ind w:firstLine="539"/>
        <w:jc w:val="both"/>
        <w:rPr>
          <w:b/>
          <w:i/>
        </w:rPr>
      </w:pPr>
      <w:r w:rsidRPr="00E378CE">
        <w:rPr>
          <w:b/>
          <w:i/>
        </w:rPr>
        <w:t xml:space="preserve">Предусматривается возможность приобретения Эмитентом Биржевых облигаций по </w:t>
      </w:r>
      <w:r w:rsidR="005150FC" w:rsidRPr="00E378CE">
        <w:rPr>
          <w:b/>
          <w:i/>
        </w:rPr>
        <w:t xml:space="preserve">требованию их владельца (владельцев) и по </w:t>
      </w:r>
      <w:r w:rsidRPr="00E378CE">
        <w:rPr>
          <w:b/>
          <w:i/>
        </w:rPr>
        <w:t>соглашению с их владельцем (владельцами) с возможностью их последующего обращения на условиях, установленных в п. 10 Программы.</w:t>
      </w:r>
    </w:p>
    <w:p w14:paraId="588A7895" w14:textId="77777777" w:rsidR="00083973" w:rsidRPr="00E378CE" w:rsidRDefault="00083973" w:rsidP="00083973">
      <w:pPr>
        <w:adjustRightInd w:val="0"/>
        <w:ind w:firstLine="539"/>
        <w:jc w:val="both"/>
        <w:rPr>
          <w:b/>
          <w:i/>
        </w:rPr>
      </w:pPr>
      <w:r w:rsidRPr="00E378CE">
        <w:rPr>
          <w:b/>
          <w:i/>
        </w:rPr>
        <w:t>Иные сведения, подлежащие указанию в настоящем пункте, приведены в п. 10 Программы биржевых облигаций.</w:t>
      </w:r>
    </w:p>
    <w:p w14:paraId="5340C31F" w14:textId="3729E267" w:rsidR="00083973" w:rsidRPr="00E378CE" w:rsidRDefault="00083973" w:rsidP="00083973">
      <w:pPr>
        <w:ind w:firstLine="539"/>
        <w:jc w:val="both"/>
        <w:rPr>
          <w:rFonts w:cs="Times New Roman"/>
          <w:bCs/>
          <w:iCs/>
        </w:rPr>
      </w:pPr>
    </w:p>
    <w:p w14:paraId="768A51AD" w14:textId="77777777" w:rsidR="00083973" w:rsidRPr="00E378CE" w:rsidRDefault="00083973" w:rsidP="00083973">
      <w:pPr>
        <w:ind w:firstLine="539"/>
        <w:jc w:val="both"/>
        <w:rPr>
          <w:rFonts w:cs="Times New Roman"/>
          <w:bCs/>
          <w:iCs/>
        </w:rPr>
      </w:pPr>
      <w:r w:rsidRPr="00E378CE">
        <w:rPr>
          <w:rFonts w:cs="Times New Roman"/>
          <w:bCs/>
          <w:iCs/>
        </w:rPr>
        <w:t>10.1. Приобретение эмитентом облигаций по требованию их владельца (владельцев):</w:t>
      </w:r>
    </w:p>
    <w:p w14:paraId="354F8740" w14:textId="646C8E83" w:rsidR="005F4BDA" w:rsidRPr="00E378CE" w:rsidRDefault="005F4BDA" w:rsidP="005F4BDA">
      <w:pPr>
        <w:adjustRightInd w:val="0"/>
        <w:ind w:firstLine="539"/>
        <w:jc w:val="both"/>
        <w:rPr>
          <w:b/>
          <w:i/>
        </w:rPr>
      </w:pPr>
      <w:r w:rsidRPr="00E378CE">
        <w:rPr>
          <w:b/>
          <w:i/>
        </w:rPr>
        <w:t xml:space="preserve">Дата приобретения </w:t>
      </w:r>
      <w:r w:rsidR="006F40EB" w:rsidRPr="00E378CE">
        <w:rPr>
          <w:b/>
          <w:i/>
        </w:rPr>
        <w:t xml:space="preserve">по требованию владельцев </w:t>
      </w:r>
      <w:r w:rsidRPr="00E378CE">
        <w:rPr>
          <w:b/>
          <w:i/>
        </w:rPr>
        <w:t xml:space="preserve">Биржевых облигаций определяется как </w:t>
      </w:r>
      <w:r w:rsidR="006F40EB" w:rsidRPr="00E378CE">
        <w:rPr>
          <w:b/>
          <w:i/>
        </w:rPr>
        <w:t>3 (</w:t>
      </w:r>
      <w:r w:rsidRPr="00E378CE">
        <w:rPr>
          <w:b/>
          <w:i/>
        </w:rPr>
        <w:t>третий</w:t>
      </w:r>
      <w:r w:rsidR="006F40EB" w:rsidRPr="00E378CE">
        <w:rPr>
          <w:b/>
          <w:i/>
        </w:rPr>
        <w:t>)</w:t>
      </w:r>
      <w:r w:rsidRPr="00E378CE">
        <w:rPr>
          <w:b/>
          <w:i/>
        </w:rPr>
        <w:t xml:space="preserve"> рабочий день с даты окончания купонного периода, непосредственно предшествующего купонному периоду, по которому Эмитентом определяется размер (порядок определения размера) процента (купона) по Биржевым облигациям после завершения размещения Биржевых облигаций. Иные сведения, подлежащие указанию в настоящем пункте, приведены в п. 10.1 Программы биржевых облигаций.</w:t>
      </w:r>
    </w:p>
    <w:p w14:paraId="5F2EF1D0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</w:p>
    <w:p w14:paraId="26FF9E04" w14:textId="77777777" w:rsidR="00083973" w:rsidRPr="00E378CE" w:rsidRDefault="00083973" w:rsidP="00083973">
      <w:pPr>
        <w:ind w:firstLine="539"/>
        <w:jc w:val="both"/>
        <w:rPr>
          <w:rFonts w:cs="Times New Roman"/>
          <w:bCs/>
          <w:iCs/>
        </w:rPr>
      </w:pPr>
      <w:r w:rsidRPr="00E378CE">
        <w:rPr>
          <w:rFonts w:cs="Times New Roman"/>
          <w:bCs/>
          <w:iCs/>
        </w:rPr>
        <w:t>10.2. Приобретение эмитентом облигаций по соглашению с их владельцем (владельцами):</w:t>
      </w:r>
    </w:p>
    <w:p w14:paraId="6E0A761E" w14:textId="1B7FD1D8" w:rsidR="003172CA" w:rsidRPr="00E378CE" w:rsidRDefault="00EE11B1" w:rsidP="003172CA">
      <w:pPr>
        <w:ind w:firstLine="539"/>
        <w:jc w:val="both"/>
        <w:rPr>
          <w:b/>
          <w:bCs/>
          <w:i/>
          <w:iCs/>
        </w:rPr>
      </w:pPr>
      <w:r w:rsidRPr="00E378CE">
        <w:rPr>
          <w:b/>
          <w:bCs/>
          <w:i/>
          <w:iCs/>
        </w:rPr>
        <w:t>С</w:t>
      </w:r>
      <w:r w:rsidR="003172CA" w:rsidRPr="00E378CE">
        <w:rPr>
          <w:b/>
          <w:bCs/>
          <w:i/>
          <w:iCs/>
        </w:rPr>
        <w:t>ведения, подлежащие указанию в настоящем пункте, приведены в пунктах 10.2</w:t>
      </w:r>
      <w:r w:rsidR="002D3032" w:rsidRPr="00E378CE">
        <w:rPr>
          <w:b/>
          <w:bCs/>
          <w:i/>
          <w:iCs/>
        </w:rPr>
        <w:t xml:space="preserve"> </w:t>
      </w:r>
      <w:r w:rsidR="003172CA" w:rsidRPr="00E378CE">
        <w:rPr>
          <w:b/>
          <w:bCs/>
          <w:i/>
          <w:iCs/>
        </w:rPr>
        <w:t>Программы.</w:t>
      </w:r>
    </w:p>
    <w:p w14:paraId="41A51F0A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A4ABFB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11. Порядок раскрытия эмитентом информации о выпуске облигаций</w:t>
      </w:r>
    </w:p>
    <w:p w14:paraId="642321D0" w14:textId="77777777" w:rsidR="009A557A" w:rsidRPr="00E378CE" w:rsidRDefault="009A557A" w:rsidP="009A557A">
      <w:pPr>
        <w:widowControl w:val="0"/>
        <w:ind w:firstLine="539"/>
        <w:jc w:val="both"/>
        <w:rPr>
          <w:b/>
          <w:bCs/>
          <w:i/>
          <w:iCs/>
        </w:rPr>
      </w:pPr>
      <w:r w:rsidRPr="00E378CE">
        <w:rPr>
          <w:b/>
          <w:bCs/>
          <w:i/>
          <w:iCs/>
        </w:rPr>
        <w:t>Сведения, подлежащие указанию в настоящем пункте, указаны в пункте 11 Программы биржевых облигаций.</w:t>
      </w:r>
    </w:p>
    <w:p w14:paraId="25A14BC2" w14:textId="1969FA99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DECEBCE" w14:textId="078BE952" w:rsidR="00D5007D" w:rsidRPr="00E378CE" w:rsidRDefault="00042E60" w:rsidP="00042E6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  <w:r w:rsidRPr="00E378CE">
        <w:rPr>
          <w:rFonts w:ascii="Times New Roman" w:hAnsi="Times New Roman" w:cs="Times New Roman"/>
          <w:b/>
          <w:i/>
        </w:rPr>
        <w:t xml:space="preserve">Информация об изменении установленных ранее процентных ставок (порядка определения процентных ставок) по купонам, начиная со второго, раскрывается Эмитентом в форме сообщения о существенном факте </w:t>
      </w:r>
      <w:r w:rsidR="00345846" w:rsidRPr="00E378CE">
        <w:rPr>
          <w:rFonts w:ascii="Times New Roman" w:hAnsi="Times New Roman" w:cs="Times New Roman"/>
          <w:b/>
          <w:i/>
          <w:szCs w:val="22"/>
        </w:rPr>
        <w:t>не позднее, чем за 5 (Пять) рабочих дней до даты окончания купонного периода</w:t>
      </w:r>
      <w:r w:rsidR="0008013A" w:rsidRPr="00E378CE">
        <w:rPr>
          <w:rFonts w:ascii="Times New Roman" w:hAnsi="Times New Roman" w:cs="Times New Roman"/>
          <w:b/>
          <w:i/>
        </w:rPr>
        <w:t>,</w:t>
      </w:r>
      <w:r w:rsidR="008E1F92" w:rsidRPr="00E378CE">
        <w:rPr>
          <w:rFonts w:ascii="Times New Roman" w:hAnsi="Times New Roman" w:cs="Times New Roman"/>
          <w:b/>
          <w:i/>
        </w:rPr>
        <w:t xml:space="preserve"> предшествующего купонному периоду,</w:t>
      </w:r>
      <w:r w:rsidR="0008013A" w:rsidRPr="00E378CE">
        <w:rPr>
          <w:rFonts w:ascii="Times New Roman" w:hAnsi="Times New Roman" w:cs="Times New Roman"/>
          <w:b/>
          <w:i/>
        </w:rPr>
        <w:t xml:space="preserve"> ставка по которому изменена,</w:t>
      </w:r>
      <w:r w:rsidR="00345846" w:rsidRPr="00E378CE">
        <w:rPr>
          <w:rFonts w:ascii="Times New Roman" w:hAnsi="Times New Roman" w:cs="Times New Roman"/>
          <w:b/>
          <w:i/>
        </w:rPr>
        <w:t xml:space="preserve"> и </w:t>
      </w:r>
      <w:r w:rsidRPr="00E378CE">
        <w:rPr>
          <w:rFonts w:ascii="Times New Roman" w:hAnsi="Times New Roman" w:cs="Times New Roman"/>
          <w:b/>
          <w:i/>
        </w:rPr>
        <w:t xml:space="preserve">в следующие сроки с момента принятия соответствующего решения </w:t>
      </w:r>
      <w:r w:rsidR="00582CC3" w:rsidRPr="00E378CE">
        <w:rPr>
          <w:rFonts w:ascii="Times New Roman" w:hAnsi="Times New Roman" w:cs="Times New Roman"/>
          <w:b/>
          <w:i/>
        </w:rPr>
        <w:t>единоличн</w:t>
      </w:r>
      <w:r w:rsidR="00A86EE5" w:rsidRPr="00E378CE">
        <w:rPr>
          <w:rFonts w:ascii="Times New Roman" w:hAnsi="Times New Roman" w:cs="Times New Roman"/>
          <w:b/>
          <w:i/>
        </w:rPr>
        <w:t>ым</w:t>
      </w:r>
      <w:r w:rsidR="00582CC3" w:rsidRPr="00E378CE">
        <w:rPr>
          <w:rFonts w:ascii="Times New Roman" w:hAnsi="Times New Roman" w:cs="Times New Roman"/>
          <w:b/>
          <w:i/>
        </w:rPr>
        <w:t xml:space="preserve"> исполнительн</w:t>
      </w:r>
      <w:r w:rsidR="00A86EE5" w:rsidRPr="00E378CE">
        <w:rPr>
          <w:rFonts w:ascii="Times New Roman" w:hAnsi="Times New Roman" w:cs="Times New Roman"/>
          <w:b/>
          <w:i/>
        </w:rPr>
        <w:t>ым</w:t>
      </w:r>
      <w:r w:rsidR="00582CC3" w:rsidRPr="00E378CE">
        <w:rPr>
          <w:rFonts w:ascii="Times New Roman" w:hAnsi="Times New Roman" w:cs="Times New Roman"/>
          <w:b/>
          <w:i/>
        </w:rPr>
        <w:t xml:space="preserve"> орган</w:t>
      </w:r>
      <w:r w:rsidR="00A86EE5" w:rsidRPr="00E378CE">
        <w:rPr>
          <w:rFonts w:ascii="Times New Roman" w:hAnsi="Times New Roman" w:cs="Times New Roman"/>
          <w:b/>
          <w:i/>
        </w:rPr>
        <w:t>ом</w:t>
      </w:r>
      <w:r w:rsidR="00582CC3" w:rsidRPr="00E378CE">
        <w:rPr>
          <w:rFonts w:ascii="Times New Roman" w:hAnsi="Times New Roman" w:cs="Times New Roman"/>
          <w:b/>
          <w:i/>
        </w:rPr>
        <w:t xml:space="preserve"> Эмитента</w:t>
      </w:r>
      <w:r w:rsidRPr="00E378CE">
        <w:rPr>
          <w:rFonts w:ascii="Times New Roman" w:hAnsi="Times New Roman" w:cs="Times New Roman"/>
          <w:b/>
          <w:i/>
        </w:rPr>
        <w:t>:</w:t>
      </w:r>
    </w:p>
    <w:p w14:paraId="251EFC41" w14:textId="77777777" w:rsidR="00D5007D" w:rsidRPr="00E378CE" w:rsidRDefault="00D5007D" w:rsidP="00D500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  <w:r w:rsidRPr="00E378CE">
        <w:rPr>
          <w:rFonts w:ascii="Times New Roman" w:hAnsi="Times New Roman" w:cs="Times New Roman"/>
          <w:b/>
          <w:i/>
        </w:rPr>
        <w:t xml:space="preserve">- в Ленте новостей - не позднее 1 (Одного) дня; </w:t>
      </w:r>
    </w:p>
    <w:p w14:paraId="11BF880A" w14:textId="30C008DB" w:rsidR="00D5007D" w:rsidRPr="00E378CE" w:rsidRDefault="00D5007D" w:rsidP="00D500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  <w:r w:rsidRPr="00E378CE">
        <w:rPr>
          <w:rFonts w:ascii="Times New Roman" w:hAnsi="Times New Roman" w:cs="Times New Roman"/>
          <w:b/>
          <w:i/>
        </w:rPr>
        <w:t>- на странице в Сети Интернет - не позднее 2 (Двух) дней.</w:t>
      </w:r>
    </w:p>
    <w:p w14:paraId="6C629C46" w14:textId="77777777" w:rsidR="00D5007D" w:rsidRPr="00E378CE" w:rsidRDefault="00D5007D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7E416DC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 xml:space="preserve">12. Сведения об обеспечении исполнения обязательств по облигациям выпуска </w:t>
      </w:r>
    </w:p>
    <w:p w14:paraId="444DD767" w14:textId="77777777" w:rsidR="00083973" w:rsidRPr="00E378CE" w:rsidRDefault="00083973" w:rsidP="00083973">
      <w:pPr>
        <w:ind w:firstLine="539"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  <w:b/>
          <w:bCs/>
          <w:i/>
          <w:iCs/>
        </w:rPr>
        <w:t>Предоставление обеспечения не предусмотрено.</w:t>
      </w:r>
    </w:p>
    <w:p w14:paraId="794D7051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</w:p>
    <w:p w14:paraId="2ADAD4D4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13. Сведения о представителе владельцев облигаций</w:t>
      </w:r>
    </w:p>
    <w:p w14:paraId="3D1C4164" w14:textId="77777777" w:rsidR="002440B0" w:rsidRPr="00E378CE" w:rsidRDefault="002440B0" w:rsidP="002440B0">
      <w:pPr>
        <w:ind w:firstLine="540"/>
        <w:jc w:val="both"/>
        <w:rPr>
          <w:rFonts w:eastAsia="Times New Roman"/>
          <w:i/>
          <w:iCs/>
        </w:rPr>
      </w:pPr>
      <w:r w:rsidRPr="00E378CE">
        <w:rPr>
          <w:rFonts w:eastAsia="Times New Roman"/>
          <w:b/>
          <w:bCs/>
          <w:i/>
          <w:iCs/>
        </w:rPr>
        <w:t xml:space="preserve">Представитель владельцев Биржевых облигаций определен: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1992"/>
        <w:gridCol w:w="1210"/>
        <w:gridCol w:w="1570"/>
        <w:gridCol w:w="1661"/>
      </w:tblGrid>
      <w:tr w:rsidR="002440B0" w:rsidRPr="00E378CE" w14:paraId="42324854" w14:textId="77777777" w:rsidTr="00887DD6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57067" w14:textId="77777777" w:rsidR="002440B0" w:rsidRPr="00E378CE" w:rsidRDefault="002440B0" w:rsidP="00887DD6">
            <w:r w:rsidRPr="00E378CE">
              <w:lastRenderedPageBreak/>
              <w:t>Полное наименование представителя владельцев облигаций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5C614" w14:textId="77777777" w:rsidR="002440B0" w:rsidRPr="00E378CE" w:rsidRDefault="002440B0" w:rsidP="00887DD6">
            <w:r w:rsidRPr="00E378CE"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CE2FB" w14:textId="77777777" w:rsidR="002440B0" w:rsidRPr="00E378CE" w:rsidRDefault="002440B0" w:rsidP="00887DD6">
            <w:r w:rsidRPr="00E378CE">
              <w:t>ИНН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C863C" w14:textId="77777777" w:rsidR="002440B0" w:rsidRPr="00E378CE" w:rsidRDefault="002440B0" w:rsidP="00887DD6">
            <w:r w:rsidRPr="00E378CE">
              <w:t>ОГРН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67779" w14:textId="77777777" w:rsidR="002440B0" w:rsidRPr="00E378CE" w:rsidRDefault="002440B0" w:rsidP="00887DD6">
            <w:r w:rsidRPr="00E378CE">
              <w:t>Дата внесения записи в ЕРГЮЛ</w:t>
            </w:r>
          </w:p>
        </w:tc>
      </w:tr>
      <w:tr w:rsidR="002440B0" w:rsidRPr="00E378CE" w14:paraId="7833C64F" w14:textId="77777777" w:rsidTr="00887DD6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DA385" w14:textId="2F9F8EE3" w:rsidR="002440B0" w:rsidRPr="00E378CE" w:rsidRDefault="0014091D" w:rsidP="00697A96">
            <w:pPr>
              <w:autoSpaceDE w:val="0"/>
              <w:autoSpaceDN w:val="0"/>
              <w:adjustRightInd w:val="0"/>
              <w:spacing w:before="240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  <w:r w:rsidRPr="00E378CE">
              <w:rPr>
                <w:rFonts w:cs="Times New Roman"/>
                <w:sz w:val="24"/>
                <w:szCs w:val="24"/>
              </w:rPr>
              <w:t>Общество с ограниченной ответственностью «РЕГИОН Финанс»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6F977" w14:textId="4AB04B4E" w:rsidR="002440B0" w:rsidRPr="00E378CE" w:rsidRDefault="0014091D" w:rsidP="0014091D">
            <w:pPr>
              <w:jc w:val="center"/>
              <w:rPr>
                <w:b/>
                <w:i/>
              </w:rPr>
            </w:pPr>
            <w:r w:rsidRPr="00E378CE">
              <w:rPr>
                <w:rFonts w:cs="Times New Roman"/>
                <w:sz w:val="24"/>
                <w:szCs w:val="24"/>
              </w:rPr>
              <w:t>Российская Федерация, г. Москва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CFD09" w14:textId="26791B2E" w:rsidR="002440B0" w:rsidRPr="00E378CE" w:rsidRDefault="0014091D" w:rsidP="0014091D">
            <w:pPr>
              <w:jc w:val="center"/>
              <w:rPr>
                <w:b/>
                <w:i/>
              </w:rPr>
            </w:pPr>
            <w:r w:rsidRPr="00E378CE">
              <w:rPr>
                <w:rFonts w:cs="Times New Roman"/>
                <w:sz w:val="24"/>
                <w:szCs w:val="24"/>
              </w:rPr>
              <w:t>7706761345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FB97" w14:textId="19C5895D" w:rsidR="002440B0" w:rsidRPr="00E378CE" w:rsidRDefault="0014091D" w:rsidP="0014091D">
            <w:pPr>
              <w:jc w:val="center"/>
              <w:rPr>
                <w:b/>
                <w:i/>
              </w:rPr>
            </w:pPr>
            <w:r w:rsidRPr="00E378CE">
              <w:rPr>
                <w:rFonts w:cs="Times New Roman"/>
                <w:sz w:val="24"/>
                <w:szCs w:val="24"/>
              </w:rPr>
              <w:t>1117746697090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A7F9" w14:textId="62143AC0" w:rsidR="002440B0" w:rsidRPr="00E378CE" w:rsidRDefault="0014091D" w:rsidP="0014091D">
            <w:pPr>
              <w:jc w:val="center"/>
              <w:rPr>
                <w:b/>
                <w:i/>
              </w:rPr>
            </w:pPr>
            <w:r w:rsidRPr="00E378CE">
              <w:rPr>
                <w:rFonts w:cs="Times New Roman"/>
                <w:sz w:val="24"/>
                <w:szCs w:val="24"/>
              </w:rPr>
              <w:t>02 сентября 2011 года</w:t>
            </w:r>
          </w:p>
        </w:tc>
      </w:tr>
    </w:tbl>
    <w:p w14:paraId="786B1167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E8792E1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14.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плату, не превышающую затраты на ее изготовление</w:t>
      </w:r>
    </w:p>
    <w:p w14:paraId="721AA251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  <w:b/>
          <w:bCs/>
          <w:i/>
          <w:iCs/>
        </w:rPr>
        <w:t>Эмитент, по требованию заинтересованного лица обязуется предоставить ему копию настоящих Условий выпуска за плату, не превышающую затраты на ее изготовление.</w:t>
      </w:r>
    </w:p>
    <w:p w14:paraId="02D202CD" w14:textId="77777777" w:rsidR="00083973" w:rsidRPr="00E378CE" w:rsidRDefault="00083973" w:rsidP="00083973">
      <w:pPr>
        <w:ind w:firstLine="539"/>
        <w:jc w:val="both"/>
        <w:rPr>
          <w:b/>
          <w:bCs/>
          <w:i/>
          <w:iCs/>
        </w:rPr>
      </w:pPr>
      <w:r w:rsidRPr="00E378CE">
        <w:rPr>
          <w:b/>
          <w:bCs/>
          <w:i/>
          <w:iCs/>
        </w:rPr>
        <w:t>Биржевые облигации не являются именными ценными бумагами.</w:t>
      </w:r>
    </w:p>
    <w:p w14:paraId="4DC2323C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E0E17BE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15. Обязательство лиц, предоставивших обеспечение по облигациям,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14:paraId="6DB1ACBC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  <w:b/>
          <w:bCs/>
          <w:i/>
          <w:iCs/>
        </w:rPr>
        <w:t>Предоставление обеспечения не предусмотрено.</w:t>
      </w:r>
    </w:p>
    <w:p w14:paraId="543CAAE5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675041C" w14:textId="77777777" w:rsidR="00083973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8CE">
        <w:rPr>
          <w:rFonts w:ascii="Times New Roman" w:hAnsi="Times New Roman" w:cs="Times New Roman"/>
        </w:rPr>
        <w:t>16. Иные сведения</w:t>
      </w:r>
    </w:p>
    <w:p w14:paraId="422B75BF" w14:textId="147C8A6B" w:rsidR="006965CB" w:rsidRPr="00E378CE" w:rsidRDefault="00083973" w:rsidP="0008397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E378CE">
        <w:rPr>
          <w:rFonts w:ascii="Times New Roman" w:hAnsi="Times New Roman" w:cs="Times New Roman"/>
          <w:b/>
          <w:bCs/>
          <w:i/>
          <w:iCs/>
        </w:rPr>
        <w:t>Иные сведения, подлежащие включению в условия выпуска биржевых облигаций в рамках программы биржевых облигаций в соответствии с Положением Банка России от 11.08.2014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и иные сведения, раскрываемые Эмитентом по собственному усмотрению, указаны в Программе.</w:t>
      </w:r>
    </w:p>
    <w:p w14:paraId="7E4C0091" w14:textId="77777777" w:rsidR="006965CB" w:rsidRPr="00E378CE" w:rsidRDefault="006965CB">
      <w:pPr>
        <w:spacing w:after="200" w:line="276" w:lineRule="auto"/>
        <w:rPr>
          <w:rFonts w:eastAsia="Times New Roman" w:cs="Times New Roman"/>
          <w:b/>
          <w:bCs/>
          <w:i/>
          <w:iCs/>
          <w:szCs w:val="20"/>
          <w:lang w:eastAsia="ru-RU"/>
        </w:rPr>
      </w:pPr>
      <w:r w:rsidRPr="00E378CE">
        <w:rPr>
          <w:rFonts w:cs="Times New Roman"/>
          <w:b/>
          <w:bCs/>
          <w:i/>
          <w:iCs/>
        </w:rPr>
        <w:br w:type="page"/>
      </w:r>
    </w:p>
    <w:bookmarkStart w:id="1" w:name="_Toc381706479"/>
    <w:bookmarkStart w:id="2" w:name="_Toc381716244"/>
    <w:bookmarkStart w:id="3" w:name="_Toc383534529"/>
    <w:bookmarkStart w:id="4" w:name="_Toc383535374"/>
    <w:bookmarkStart w:id="5" w:name="_Toc383536222"/>
    <w:bookmarkStart w:id="6" w:name="_Toc383622989"/>
    <w:bookmarkStart w:id="7" w:name="_Toc383683062"/>
    <w:bookmarkStart w:id="8" w:name="_Toc384033659"/>
    <w:bookmarkStart w:id="9" w:name="_Toc384035447"/>
    <w:bookmarkStart w:id="10" w:name="_Toc386198319"/>
    <w:bookmarkStart w:id="11" w:name="_Toc86085504"/>
    <w:bookmarkStart w:id="12" w:name="_Toc86085663"/>
    <w:bookmarkStart w:id="13" w:name="_Toc86086998"/>
    <w:p w14:paraId="69062FB1" w14:textId="43A32B0C" w:rsidR="00394D38" w:rsidRPr="00E378CE" w:rsidRDefault="00394D38" w:rsidP="00394D38">
      <w:pPr>
        <w:rPr>
          <w:noProof/>
        </w:rPr>
      </w:pPr>
      <w:r w:rsidRPr="00E378C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A667D7" wp14:editId="5502F9C7">
                <wp:simplePos x="0" y="0"/>
                <wp:positionH relativeFrom="margin">
                  <wp:align>center</wp:align>
                </wp:positionH>
                <wp:positionV relativeFrom="paragraph">
                  <wp:posOffset>128330</wp:posOffset>
                </wp:positionV>
                <wp:extent cx="6685472" cy="8366760"/>
                <wp:effectExtent l="19050" t="19050" r="39370" b="342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472" cy="83667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B8F0" id="Прямоугольник 1" o:spid="_x0000_s1026" style="position:absolute;margin-left:0;margin-top:10.1pt;width:526.4pt;height:658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" filled="f" strokeweight="4.5pt">
                <v:stroke linestyle="thickThin"/>
                <w10:wrap anchorx="margin"/>
              </v:rect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1"/>
    <w:bookmarkEnd w:id="12"/>
    <w:bookmarkEnd w:id="13"/>
    <w:p w14:paraId="2D609B74" w14:textId="77777777" w:rsidR="00394D38" w:rsidRPr="00E378CE" w:rsidRDefault="00394D38" w:rsidP="00394D38">
      <w:pPr>
        <w:jc w:val="center"/>
        <w:rPr>
          <w:b/>
          <w:bCs/>
          <w:sz w:val="28"/>
        </w:rPr>
      </w:pPr>
      <w:r w:rsidRPr="00E378CE">
        <w:rPr>
          <w:b/>
          <w:bCs/>
          <w:sz w:val="28"/>
        </w:rPr>
        <w:t xml:space="preserve">Общество с ограниченной ответственностью </w:t>
      </w:r>
    </w:p>
    <w:p w14:paraId="6E38782C" w14:textId="23896925" w:rsidR="00394D38" w:rsidRPr="00E378CE" w:rsidRDefault="00012537" w:rsidP="00394D38">
      <w:pPr>
        <w:jc w:val="center"/>
        <w:rPr>
          <w:b/>
          <w:bCs/>
          <w:sz w:val="28"/>
        </w:rPr>
      </w:pPr>
      <w:r w:rsidRPr="00E378CE">
        <w:rPr>
          <w:b/>
          <w:bCs/>
          <w:sz w:val="28"/>
        </w:rPr>
        <w:t>«Торговое предприятие «Кировский»</w:t>
      </w:r>
      <w:r w:rsidR="00394D38" w:rsidRPr="00E378CE">
        <w:rPr>
          <w:b/>
          <w:bCs/>
          <w:sz w:val="28"/>
        </w:rPr>
        <w:br/>
      </w:r>
    </w:p>
    <w:p w14:paraId="07671152" w14:textId="77777777" w:rsidR="00394D38" w:rsidRPr="00E378CE" w:rsidRDefault="00394D38" w:rsidP="00394D38">
      <w:pPr>
        <w:rPr>
          <w:b/>
          <w:bCs/>
          <w:sz w:val="28"/>
        </w:rPr>
      </w:pPr>
    </w:p>
    <w:p w14:paraId="18102878" w14:textId="6FEE02A9" w:rsidR="00394D38" w:rsidRPr="00E378CE" w:rsidRDefault="00394D38" w:rsidP="00394D38">
      <w:r w:rsidRPr="00E378CE">
        <w:t xml:space="preserve">Место нахождения: </w:t>
      </w:r>
      <w:r w:rsidR="00873E3E" w:rsidRPr="00E378CE">
        <w:rPr>
          <w:b/>
          <w:bCs/>
          <w:i/>
          <w:iCs/>
        </w:rPr>
        <w:t>620072, Россия, г. Екатеринбург, Сиреневый бульвар, 2</w:t>
      </w:r>
    </w:p>
    <w:p w14:paraId="3EED477B" w14:textId="77777777" w:rsidR="00394D38" w:rsidRPr="00E378CE" w:rsidRDefault="00394D38" w:rsidP="00394D38"/>
    <w:p w14:paraId="2FDC02E4" w14:textId="064E10FB" w:rsidR="00394D38" w:rsidRPr="00E378CE" w:rsidRDefault="00394D38" w:rsidP="00394D38">
      <w:r w:rsidRPr="00E378CE">
        <w:t xml:space="preserve">Почтовый адрес: </w:t>
      </w:r>
      <w:r w:rsidR="00873E3E" w:rsidRPr="00E378CE">
        <w:rPr>
          <w:b/>
          <w:bCs/>
          <w:i/>
          <w:iCs/>
        </w:rPr>
        <w:t>620072, Россия, г. Екатеринбург, Сиреневый бульвар, 2</w:t>
      </w:r>
    </w:p>
    <w:p w14:paraId="2667AA10" w14:textId="77777777" w:rsidR="00394D38" w:rsidRPr="00E378CE" w:rsidRDefault="00394D38" w:rsidP="00394D38"/>
    <w:p w14:paraId="71F3FB5B" w14:textId="77777777" w:rsidR="00394D38" w:rsidRPr="00E378CE" w:rsidRDefault="00394D38" w:rsidP="00394D38">
      <w:pPr>
        <w:jc w:val="center"/>
        <w:rPr>
          <w:b/>
          <w:bCs/>
          <w:szCs w:val="24"/>
        </w:rPr>
      </w:pPr>
      <w:r w:rsidRPr="00E378CE">
        <w:rPr>
          <w:b/>
          <w:bCs/>
          <w:szCs w:val="24"/>
        </w:rPr>
        <w:t>СЕРТИФИКАТ</w:t>
      </w:r>
    </w:p>
    <w:p w14:paraId="37FEC034" w14:textId="77777777" w:rsidR="00394D38" w:rsidRPr="00E378CE" w:rsidRDefault="00394D38" w:rsidP="00394D38">
      <w:pPr>
        <w:jc w:val="center"/>
        <w:rPr>
          <w:b/>
          <w:bCs/>
          <w:szCs w:val="24"/>
        </w:rPr>
      </w:pPr>
    </w:p>
    <w:p w14:paraId="43206554" w14:textId="77777777" w:rsidR="00394D38" w:rsidRPr="00E378CE" w:rsidRDefault="00394D38" w:rsidP="00394D38">
      <w:pPr>
        <w:jc w:val="center"/>
        <w:rPr>
          <w:b/>
          <w:bCs/>
          <w:szCs w:val="24"/>
        </w:rPr>
      </w:pPr>
    </w:p>
    <w:p w14:paraId="4CDC2A92" w14:textId="77777777" w:rsidR="00394D38" w:rsidRPr="00E378CE" w:rsidRDefault="00394D38" w:rsidP="00394D38">
      <w:pPr>
        <w:jc w:val="center"/>
        <w:rPr>
          <w:b/>
          <w:bCs/>
          <w:szCs w:val="24"/>
        </w:rPr>
      </w:pPr>
    </w:p>
    <w:p w14:paraId="355A01D3" w14:textId="77777777" w:rsidR="00394D38" w:rsidRPr="00E378CE" w:rsidRDefault="00394D38" w:rsidP="00394D38">
      <w:pPr>
        <w:numPr>
          <w:ilvl w:val="12"/>
          <w:numId w:val="0"/>
        </w:numPr>
        <w:ind w:left="283" w:right="-109"/>
        <w:jc w:val="center"/>
        <w:rPr>
          <w:szCs w:val="24"/>
        </w:rPr>
      </w:pPr>
      <w:r w:rsidRPr="00E378CE">
        <w:rPr>
          <w:b/>
          <w:bCs/>
        </w:rPr>
        <w:t>биржевых облигаций документарных процентных неконвертируемых на предъявителя</w:t>
      </w:r>
      <w:r w:rsidRPr="00E378CE">
        <w:rPr>
          <w:b/>
          <w:bCs/>
        </w:rPr>
        <w:br/>
        <w:t>с обязательным централизованным хранением серии 001P-01R</w:t>
      </w:r>
      <w:r w:rsidRPr="00E378CE">
        <w:rPr>
          <w:b/>
          <w:bCs/>
        </w:rPr>
        <w:br/>
      </w:r>
    </w:p>
    <w:p w14:paraId="5904CCE0" w14:textId="77777777" w:rsidR="00394D38" w:rsidRPr="00E378CE" w:rsidRDefault="00394D38" w:rsidP="00394D38">
      <w:pPr>
        <w:jc w:val="center"/>
        <w:rPr>
          <w:szCs w:val="24"/>
        </w:rPr>
      </w:pPr>
      <w:r w:rsidRPr="00E378CE">
        <w:rPr>
          <w:szCs w:val="24"/>
        </w:rPr>
        <w:t>Идентификационный номер</w:t>
      </w:r>
    </w:p>
    <w:p w14:paraId="28348352" w14:textId="77777777" w:rsidR="00394D38" w:rsidRPr="00E378CE" w:rsidRDefault="00394D38" w:rsidP="00394D38">
      <w:pPr>
        <w:jc w:val="center"/>
        <w:rPr>
          <w:szCs w:val="24"/>
        </w:rPr>
      </w:pPr>
      <w:r w:rsidRPr="00E378CE">
        <w:rPr>
          <w:szCs w:val="24"/>
        </w:rPr>
        <w:t>___________________________</w:t>
      </w:r>
    </w:p>
    <w:p w14:paraId="019EA162" w14:textId="77777777" w:rsidR="00394D38" w:rsidRPr="00E378CE" w:rsidRDefault="00394D38" w:rsidP="00394D38">
      <w:pPr>
        <w:jc w:val="center"/>
        <w:rPr>
          <w:szCs w:val="24"/>
        </w:rPr>
      </w:pPr>
    </w:p>
    <w:p w14:paraId="3DA1CFBE" w14:textId="77777777" w:rsidR="00394D38" w:rsidRPr="00E378CE" w:rsidRDefault="00394D38" w:rsidP="00394D38">
      <w:pPr>
        <w:jc w:val="center"/>
        <w:rPr>
          <w:szCs w:val="24"/>
        </w:rPr>
      </w:pPr>
      <w:r w:rsidRPr="00E378CE">
        <w:rPr>
          <w:szCs w:val="24"/>
        </w:rPr>
        <w:t xml:space="preserve">Дата присвоения идентификационного номера </w:t>
      </w:r>
    </w:p>
    <w:p w14:paraId="03AB8D23" w14:textId="77777777" w:rsidR="00394D38" w:rsidRPr="00E378CE" w:rsidRDefault="00394D38" w:rsidP="00394D38">
      <w:pPr>
        <w:jc w:val="center"/>
        <w:rPr>
          <w:szCs w:val="24"/>
        </w:rPr>
      </w:pPr>
      <w:r w:rsidRPr="00E378CE">
        <w:rPr>
          <w:szCs w:val="24"/>
        </w:rPr>
        <w:t>_________________</w:t>
      </w:r>
    </w:p>
    <w:p w14:paraId="67521FE0" w14:textId="77777777" w:rsidR="00394D38" w:rsidRPr="00E378CE" w:rsidRDefault="00394D38" w:rsidP="00394D38">
      <w:pPr>
        <w:jc w:val="center"/>
      </w:pPr>
    </w:p>
    <w:p w14:paraId="549DBC00" w14:textId="77777777" w:rsidR="00394D38" w:rsidRPr="00E378CE" w:rsidRDefault="00394D38" w:rsidP="00394D38">
      <w:pPr>
        <w:jc w:val="center"/>
        <w:rPr>
          <w:szCs w:val="24"/>
        </w:rPr>
      </w:pPr>
      <w:r w:rsidRPr="00E378CE">
        <w:rPr>
          <w:szCs w:val="24"/>
        </w:rPr>
        <w:t>Биржевые облигации размещаются путем открытой подписки среди неограниченного круга лиц</w:t>
      </w:r>
    </w:p>
    <w:p w14:paraId="42422DDB" w14:textId="77777777" w:rsidR="00394D38" w:rsidRPr="00E378CE" w:rsidRDefault="00394D38" w:rsidP="00394D38">
      <w:pPr>
        <w:jc w:val="center"/>
        <w:rPr>
          <w:szCs w:val="24"/>
        </w:rPr>
      </w:pPr>
    </w:p>
    <w:p w14:paraId="7FE60CF0" w14:textId="77777777" w:rsidR="00394D38" w:rsidRPr="00E378CE" w:rsidRDefault="00394D38" w:rsidP="00394D38">
      <w:pPr>
        <w:jc w:val="center"/>
        <w:rPr>
          <w:szCs w:val="24"/>
        </w:rPr>
      </w:pPr>
    </w:p>
    <w:p w14:paraId="378B3FFC" w14:textId="6A87B0F8" w:rsidR="00394D38" w:rsidRPr="00E378CE" w:rsidRDefault="00CB6F54" w:rsidP="00394D38">
      <w:pPr>
        <w:jc w:val="both"/>
        <w:rPr>
          <w:b/>
          <w:bCs/>
        </w:rPr>
      </w:pPr>
      <w:r w:rsidRPr="00E378CE">
        <w:rPr>
          <w:b/>
          <w:bCs/>
        </w:rPr>
        <w:t>Общество с ограниченной ответственностью «Торговое предприятие «Кировский»</w:t>
      </w:r>
      <w:r w:rsidR="00394D38" w:rsidRPr="00E378CE">
        <w:rPr>
          <w:b/>
          <w:bCs/>
        </w:rPr>
        <w:t xml:space="preserve"> </w:t>
      </w:r>
      <w:r w:rsidR="00394D38" w:rsidRPr="00E378CE">
        <w:t>(далее – «Эмитент»)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7422767E" w14:textId="77777777" w:rsidR="00394D38" w:rsidRPr="00E378CE" w:rsidRDefault="00394D38" w:rsidP="00394D38">
      <w:pPr>
        <w:jc w:val="both"/>
      </w:pPr>
    </w:p>
    <w:p w14:paraId="6928B8B5" w14:textId="21C805D4" w:rsidR="00394D38" w:rsidRPr="00E378CE" w:rsidRDefault="00394D38" w:rsidP="00394D38">
      <w:pPr>
        <w:jc w:val="both"/>
      </w:pPr>
      <w:r w:rsidRPr="00E378CE">
        <w:t xml:space="preserve">Срок обращения облигаций (в днях) – </w:t>
      </w:r>
      <w:r w:rsidR="00873E3E" w:rsidRPr="00E378CE">
        <w:t>3 640 (Три тысячи шестьсот сорок)</w:t>
      </w:r>
      <w:r w:rsidRPr="00E378CE">
        <w:t xml:space="preserve"> </w:t>
      </w:r>
      <w:r w:rsidR="001840C7" w:rsidRPr="00E378CE">
        <w:t>дней</w:t>
      </w:r>
      <w:r w:rsidRPr="00E378CE">
        <w:t xml:space="preserve"> с даты начала размещения Биржевых облигаций.</w:t>
      </w:r>
    </w:p>
    <w:p w14:paraId="5A42D82F" w14:textId="77777777" w:rsidR="00394D38" w:rsidRPr="00E378CE" w:rsidRDefault="00394D38" w:rsidP="00394D38">
      <w:pPr>
        <w:jc w:val="both"/>
      </w:pPr>
    </w:p>
    <w:p w14:paraId="516C7A82" w14:textId="7E6017BB" w:rsidR="00394D38" w:rsidRPr="00E378CE" w:rsidRDefault="00394D38" w:rsidP="00394D38">
      <w:pPr>
        <w:jc w:val="both"/>
      </w:pPr>
      <w:r w:rsidRPr="00E378CE">
        <w:t xml:space="preserve">Настоящий сертификат удостоверяет права на </w:t>
      </w:r>
      <w:r w:rsidR="00CB6F54" w:rsidRPr="00E378CE">
        <w:rPr>
          <w:bCs/>
          <w:iCs/>
        </w:rPr>
        <w:t>1 200 000 (Один м</w:t>
      </w:r>
      <w:r w:rsidR="008246B3" w:rsidRPr="00E378CE">
        <w:rPr>
          <w:bCs/>
          <w:iCs/>
        </w:rPr>
        <w:t>иллион</w:t>
      </w:r>
      <w:r w:rsidR="00CB6F54" w:rsidRPr="00E378CE">
        <w:rPr>
          <w:bCs/>
          <w:iCs/>
        </w:rPr>
        <w:t xml:space="preserve"> двести тысяч)</w:t>
      </w:r>
      <w:r w:rsidRPr="00E378CE">
        <w:rPr>
          <w:bCs/>
          <w:iCs/>
        </w:rPr>
        <w:t xml:space="preserve"> </w:t>
      </w:r>
      <w:r w:rsidRPr="00E378CE">
        <w:t xml:space="preserve">Биржевых облигаций номинальной стоимостью 1 000 (Одна тысяча) рублей каждая общей номинальной стоимостью </w:t>
      </w:r>
      <w:r w:rsidR="00873E3E" w:rsidRPr="00E378CE">
        <w:rPr>
          <w:bCs/>
          <w:iCs/>
        </w:rPr>
        <w:t>1 200 000 000 (Один миллиард двести миллионов)</w:t>
      </w:r>
      <w:r w:rsidRPr="00E378CE">
        <w:t xml:space="preserve"> рублей.</w:t>
      </w:r>
    </w:p>
    <w:p w14:paraId="49A4BB98" w14:textId="77777777" w:rsidR="00394D38" w:rsidRPr="00E378CE" w:rsidRDefault="00394D38" w:rsidP="00394D38">
      <w:pPr>
        <w:jc w:val="both"/>
      </w:pPr>
    </w:p>
    <w:p w14:paraId="4FBDA569" w14:textId="77777777" w:rsidR="00394D38" w:rsidRPr="00E378CE" w:rsidRDefault="00394D38" w:rsidP="00394D38">
      <w:pPr>
        <w:jc w:val="both"/>
      </w:pPr>
    </w:p>
    <w:p w14:paraId="397F9C44" w14:textId="3B2E1065" w:rsidR="00394D38" w:rsidRPr="00E378CE" w:rsidRDefault="00394D38" w:rsidP="00394D38">
      <w:pPr>
        <w:jc w:val="both"/>
      </w:pPr>
      <w:r w:rsidRPr="00E378CE">
        <w:t xml:space="preserve">Общее количество Биржевых облигаций выпуска, имеющего идентификационный номер ______________________________________ от «___» __________ 201_года, составляет </w:t>
      </w:r>
      <w:r w:rsidR="00CB6F54" w:rsidRPr="00E378CE">
        <w:rPr>
          <w:bCs/>
          <w:iCs/>
        </w:rPr>
        <w:t xml:space="preserve">1 200 000 (Один </w:t>
      </w:r>
      <w:r w:rsidR="008246B3" w:rsidRPr="00E378CE">
        <w:rPr>
          <w:bCs/>
          <w:iCs/>
        </w:rPr>
        <w:t>миллион</w:t>
      </w:r>
      <w:r w:rsidR="00CB6F54" w:rsidRPr="00E378CE">
        <w:rPr>
          <w:bCs/>
          <w:iCs/>
        </w:rPr>
        <w:t xml:space="preserve"> двести тысяч)</w:t>
      </w:r>
      <w:r w:rsidRPr="00E378CE">
        <w:t xml:space="preserve"> Биржевых облигаций номинальной стоимостью 1 000 рублей каждая общей номинальной стоимостью </w:t>
      </w:r>
      <w:r w:rsidR="00873E3E" w:rsidRPr="00E378CE">
        <w:rPr>
          <w:bCs/>
          <w:iCs/>
        </w:rPr>
        <w:t>1 200 000 000 (Один миллиард двести миллионов)</w:t>
      </w:r>
      <w:r w:rsidRPr="00E378CE">
        <w:t xml:space="preserve"> рублей.</w:t>
      </w:r>
    </w:p>
    <w:p w14:paraId="6F9A9E7D" w14:textId="77777777" w:rsidR="00394D38" w:rsidRPr="00E378CE" w:rsidRDefault="00394D38" w:rsidP="00394D38">
      <w:pPr>
        <w:jc w:val="both"/>
      </w:pPr>
    </w:p>
    <w:p w14:paraId="19BF0DAF" w14:textId="77777777" w:rsidR="00394D38" w:rsidRPr="00E378CE" w:rsidRDefault="00394D38" w:rsidP="00394D38">
      <w:pPr>
        <w:jc w:val="both"/>
      </w:pPr>
    </w:p>
    <w:p w14:paraId="517CB82F" w14:textId="77777777" w:rsidR="00394D38" w:rsidRPr="00E378CE" w:rsidRDefault="00394D38" w:rsidP="00394D38">
      <w:pPr>
        <w:jc w:val="both"/>
      </w:pPr>
      <w:r w:rsidRPr="00E378CE"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 Биржевых облигаций.</w:t>
      </w:r>
    </w:p>
    <w:p w14:paraId="38B2B319" w14:textId="77777777" w:rsidR="00394D38" w:rsidRPr="00E378CE" w:rsidRDefault="00394D38" w:rsidP="00394D38">
      <w:pPr>
        <w:jc w:val="both"/>
      </w:pPr>
    </w:p>
    <w:p w14:paraId="3A8D9F9F" w14:textId="77777777" w:rsidR="00394D38" w:rsidRPr="00E378CE" w:rsidRDefault="00394D38" w:rsidP="00394D38">
      <w:pPr>
        <w:jc w:val="both"/>
      </w:pPr>
    </w:p>
    <w:p w14:paraId="663172EC" w14:textId="77777777" w:rsidR="00394D38" w:rsidRPr="00E378CE" w:rsidRDefault="00394D38" w:rsidP="00394D38">
      <w:pPr>
        <w:jc w:val="both"/>
      </w:pPr>
      <w:r w:rsidRPr="00E378CE">
        <w:t>Место нахождения Депозитария: город Москва, улица Спартаковская, дом 12</w:t>
      </w:r>
    </w:p>
    <w:p w14:paraId="1212B19C" w14:textId="77777777" w:rsidR="00394D38" w:rsidRPr="00E378CE" w:rsidRDefault="00394D38" w:rsidP="00394D38">
      <w:r w:rsidRPr="00E378CE">
        <w:br w:type="page"/>
      </w:r>
    </w:p>
    <w:tbl>
      <w:tblPr>
        <w:tblW w:w="9807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70"/>
        <w:gridCol w:w="397"/>
        <w:gridCol w:w="255"/>
        <w:gridCol w:w="1361"/>
        <w:gridCol w:w="397"/>
        <w:gridCol w:w="369"/>
        <w:gridCol w:w="944"/>
        <w:gridCol w:w="3025"/>
        <w:gridCol w:w="170"/>
        <w:gridCol w:w="2409"/>
        <w:gridCol w:w="234"/>
      </w:tblGrid>
      <w:tr w:rsidR="00394D38" w:rsidRPr="00E378CE" w14:paraId="624874E4" w14:textId="77777777" w:rsidTr="00887DD6">
        <w:tc>
          <w:tcPr>
            <w:tcW w:w="98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47A65" w14:textId="77777777" w:rsidR="00394D38" w:rsidRPr="00E378CE" w:rsidRDefault="00394D38" w:rsidP="00887DD6"/>
        </w:tc>
      </w:tr>
      <w:tr w:rsidR="00394D38" w:rsidRPr="00E378CE" w14:paraId="09EA2D5F" w14:textId="77777777" w:rsidTr="00887DD6"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B946F1" w14:textId="77777777" w:rsidR="00394D38" w:rsidRPr="00E378CE" w:rsidRDefault="00394D38" w:rsidP="00887DD6"/>
        </w:tc>
        <w:tc>
          <w:tcPr>
            <w:tcW w:w="38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3458C" w14:textId="66670272" w:rsidR="00394D38" w:rsidRPr="00E378CE" w:rsidRDefault="00394D38" w:rsidP="00887DD6"/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FD5F6" w14:textId="77777777" w:rsidR="00394D38" w:rsidRPr="00E378CE" w:rsidRDefault="00394D38" w:rsidP="00887DD6"/>
          <w:p w14:paraId="0EF030DC" w14:textId="77777777" w:rsidR="00394D38" w:rsidRPr="00E378CE" w:rsidRDefault="00394D38" w:rsidP="00887DD6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F3061" w14:textId="77777777" w:rsidR="00394D38" w:rsidRPr="00E378CE" w:rsidRDefault="00394D38" w:rsidP="00887DD6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FC584" w14:textId="497F0DA1" w:rsidR="00394D38" w:rsidRPr="00E378CE" w:rsidRDefault="00394D38" w:rsidP="00887DD6"/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892F58" w14:textId="77777777" w:rsidR="00394D38" w:rsidRPr="00E378CE" w:rsidRDefault="00394D38" w:rsidP="00887DD6"/>
        </w:tc>
      </w:tr>
      <w:tr w:rsidR="00394D38" w:rsidRPr="00E378CE" w14:paraId="51526221" w14:textId="77777777" w:rsidTr="00887DD6"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B4649" w14:textId="77777777" w:rsidR="00394D38" w:rsidRPr="00E378CE" w:rsidRDefault="00394D38" w:rsidP="00887DD6"/>
        </w:tc>
        <w:tc>
          <w:tcPr>
            <w:tcW w:w="3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24683D" w14:textId="77777777" w:rsidR="00394D38" w:rsidRPr="00E378CE" w:rsidRDefault="00394D38" w:rsidP="00887DD6">
            <w:r w:rsidRPr="00E378CE">
              <w:t>Должность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39BFC09B" w14:textId="77777777" w:rsidR="00394D38" w:rsidRPr="00E378CE" w:rsidRDefault="00394D38" w:rsidP="00887DD6">
            <w:r w:rsidRPr="00E378CE">
              <w:t xml:space="preserve">                  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C4CC8FD" w14:textId="77777777" w:rsidR="00394D38" w:rsidRPr="00E378CE" w:rsidRDefault="00394D38" w:rsidP="00887DD6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C73ABE" w14:textId="77777777" w:rsidR="00394D38" w:rsidRPr="00E378CE" w:rsidRDefault="00394D38" w:rsidP="00887DD6">
            <w:r w:rsidRPr="00E378CE">
              <w:t>И.О. Фамилия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58B01" w14:textId="77777777" w:rsidR="00394D38" w:rsidRPr="00E378CE" w:rsidRDefault="00394D38" w:rsidP="00887DD6"/>
        </w:tc>
      </w:tr>
      <w:tr w:rsidR="00394D38" w:rsidRPr="00E378CE" w14:paraId="4F44ECC8" w14:textId="77777777" w:rsidTr="00887DD6">
        <w:trPr>
          <w:cantSplit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8B71BD" w14:textId="77777777" w:rsidR="00394D38" w:rsidRPr="00E378CE" w:rsidRDefault="00394D38" w:rsidP="00887DD6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7531F" w14:textId="77777777" w:rsidR="00394D38" w:rsidRPr="00E378CE" w:rsidRDefault="00394D38" w:rsidP="00887DD6">
            <w:r w:rsidRPr="00E378CE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CC8F2" w14:textId="77777777" w:rsidR="00394D38" w:rsidRPr="00E378CE" w:rsidRDefault="00394D38" w:rsidP="00887DD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5A8FC" w14:textId="77777777" w:rsidR="00394D38" w:rsidRPr="00E378CE" w:rsidRDefault="00394D38" w:rsidP="00887DD6">
            <w:r w:rsidRPr="00E378CE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08073" w14:textId="77777777" w:rsidR="00394D38" w:rsidRPr="00E378CE" w:rsidRDefault="00394D38" w:rsidP="00887DD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C7866" w14:textId="77777777" w:rsidR="00394D38" w:rsidRPr="00E378CE" w:rsidRDefault="00394D38" w:rsidP="00887DD6">
            <w:r w:rsidRPr="00E378CE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39282" w14:textId="77777777" w:rsidR="00394D38" w:rsidRPr="00E378CE" w:rsidRDefault="00394D38" w:rsidP="00887DD6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85A92" w14:textId="77777777" w:rsidR="00394D38" w:rsidRPr="00E378CE" w:rsidRDefault="00394D38" w:rsidP="00887DD6">
            <w:r w:rsidRPr="00E378CE">
              <w:t>г.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07689B" w14:textId="77777777" w:rsidR="00394D38" w:rsidRPr="00E378CE" w:rsidRDefault="00394D38" w:rsidP="00887DD6">
            <w:r w:rsidRPr="00E378CE">
              <w:t xml:space="preserve">                      М.П.</w:t>
            </w:r>
          </w:p>
        </w:tc>
      </w:tr>
      <w:tr w:rsidR="00394D38" w:rsidRPr="00E378CE" w14:paraId="08DA2850" w14:textId="77777777" w:rsidTr="00887DD6">
        <w:tc>
          <w:tcPr>
            <w:tcW w:w="98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C92D8" w14:textId="77777777" w:rsidR="00394D38" w:rsidRPr="00E378CE" w:rsidRDefault="00394D38" w:rsidP="00887DD6"/>
        </w:tc>
      </w:tr>
    </w:tbl>
    <w:p w14:paraId="34492F40" w14:textId="77777777" w:rsidR="00394D38" w:rsidRPr="00E378CE" w:rsidRDefault="00394D38" w:rsidP="00394D38">
      <w:pPr>
        <w:adjustRightInd w:val="0"/>
        <w:jc w:val="both"/>
      </w:pPr>
    </w:p>
    <w:p w14:paraId="0A065784" w14:textId="1A8421F0" w:rsidR="00083973" w:rsidRPr="00E378CE" w:rsidRDefault="00083973" w:rsidP="00083973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14:paraId="30580FC3" w14:textId="77777777" w:rsidR="00083973" w:rsidRPr="00E378CE" w:rsidRDefault="00083973" w:rsidP="00083973">
      <w:pPr>
        <w:keepNext/>
        <w:spacing w:before="60" w:after="60"/>
        <w:outlineLvl w:val="0"/>
        <w:rPr>
          <w:rFonts w:eastAsia="Times New Roman" w:cs="Arial"/>
          <w:b/>
          <w:bCs/>
          <w:kern w:val="32"/>
          <w:sz w:val="18"/>
          <w:szCs w:val="32"/>
          <w:lang w:eastAsia="ru-RU"/>
        </w:rPr>
      </w:pPr>
      <w:r w:rsidRPr="00E378CE">
        <w:rPr>
          <w:rFonts w:eastAsia="Calibri" w:cs="Times New Roman"/>
          <w:b/>
          <w:bCs/>
          <w:i/>
          <w:iCs/>
        </w:rPr>
        <w:br w:type="page"/>
      </w:r>
    </w:p>
    <w:p w14:paraId="3D617725" w14:textId="77777777" w:rsidR="00083973" w:rsidRPr="00E378CE" w:rsidRDefault="00083973" w:rsidP="0008397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14:paraId="5F248EF8" w14:textId="77777777" w:rsidR="00083973" w:rsidRPr="00E378CE" w:rsidRDefault="00083973" w:rsidP="0008397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E378CE">
        <w:rPr>
          <w:rFonts w:ascii="Times New Roman" w:hAnsi="Times New Roman" w:cs="Times New Roman"/>
          <w:szCs w:val="22"/>
        </w:rPr>
        <w:t>1. Вид ценных бумаг</w:t>
      </w:r>
    </w:p>
    <w:p w14:paraId="188DB9B5" w14:textId="77777777" w:rsidR="00083973" w:rsidRPr="00E378CE" w:rsidRDefault="00083973" w:rsidP="00083973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  <w:r w:rsidRPr="00E378CE">
        <w:rPr>
          <w:rFonts w:cs="Times New Roman"/>
          <w:b/>
          <w:bCs/>
          <w:i/>
          <w:iCs/>
        </w:rPr>
        <w:t>биржевые облигации на предъявителя</w:t>
      </w:r>
      <w:r w:rsidRPr="00E378CE">
        <w:rPr>
          <w:rFonts w:cs="Times New Roman"/>
        </w:rPr>
        <w:t xml:space="preserve"> </w:t>
      </w:r>
    </w:p>
    <w:p w14:paraId="101A00AA" w14:textId="77777777" w:rsidR="00083973" w:rsidRPr="00E378CE" w:rsidRDefault="00083973" w:rsidP="00083973">
      <w:pPr>
        <w:ind w:firstLine="540"/>
        <w:contextualSpacing/>
        <w:jc w:val="both"/>
        <w:rPr>
          <w:rFonts w:cs="Times New Roman"/>
        </w:rPr>
      </w:pPr>
    </w:p>
    <w:p w14:paraId="50983E2B" w14:textId="77777777" w:rsidR="00083973" w:rsidRPr="00E378CE" w:rsidRDefault="00083973" w:rsidP="00083973">
      <w:pPr>
        <w:ind w:firstLine="540"/>
        <w:contextualSpacing/>
        <w:jc w:val="both"/>
        <w:rPr>
          <w:rFonts w:cs="Times New Roman"/>
          <w:b/>
          <w:bCs/>
          <w:i/>
          <w:iCs/>
        </w:rPr>
      </w:pPr>
      <w:r w:rsidRPr="00E378CE">
        <w:rPr>
          <w:rFonts w:cs="Times New Roman"/>
        </w:rPr>
        <w:t>Идентификационные признаки ценных бумаг:</w:t>
      </w:r>
      <w:r w:rsidRPr="00E378CE">
        <w:rPr>
          <w:rFonts w:cs="Times New Roman"/>
          <w:b/>
          <w:bCs/>
          <w:i/>
          <w:iCs/>
        </w:rPr>
        <w:t xml:space="preserve"> биржевые облигации процентные неконвертируемые документарные на предъявителя с обязательным централизованным хранением (далее – Биржевые облигации).</w:t>
      </w:r>
    </w:p>
    <w:p w14:paraId="7B95CB3D" w14:textId="77777777" w:rsidR="00083973" w:rsidRPr="00E378CE" w:rsidRDefault="00083973" w:rsidP="00083973">
      <w:pPr>
        <w:autoSpaceDE w:val="0"/>
        <w:autoSpaceDN w:val="0"/>
        <w:ind w:firstLine="540"/>
        <w:contextualSpacing/>
        <w:jc w:val="both"/>
        <w:rPr>
          <w:rFonts w:cs="Times New Roman"/>
        </w:rPr>
      </w:pPr>
    </w:p>
    <w:p w14:paraId="3CA2D846" w14:textId="24002E0B" w:rsidR="00083973" w:rsidRPr="00E378CE" w:rsidRDefault="00083973" w:rsidP="00083973">
      <w:pPr>
        <w:autoSpaceDE w:val="0"/>
        <w:autoSpaceDN w:val="0"/>
        <w:ind w:firstLine="540"/>
        <w:contextualSpacing/>
        <w:jc w:val="both"/>
        <w:rPr>
          <w:rFonts w:cs="Times New Roman"/>
          <w:b/>
          <w:i/>
        </w:rPr>
      </w:pPr>
      <w:r w:rsidRPr="00E378CE">
        <w:rPr>
          <w:rFonts w:cs="Times New Roman"/>
        </w:rPr>
        <w:t xml:space="preserve">Серия: </w:t>
      </w:r>
      <w:r w:rsidR="00AA69DA" w:rsidRPr="00E378CE">
        <w:rPr>
          <w:rFonts w:cs="Times New Roman"/>
          <w:b/>
          <w:i/>
        </w:rPr>
        <w:t>001Р-01R</w:t>
      </w:r>
    </w:p>
    <w:p w14:paraId="4E4FCBAC" w14:textId="77777777" w:rsidR="00083973" w:rsidRPr="00E378CE" w:rsidRDefault="00083973" w:rsidP="0008397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b/>
          <w:bCs/>
          <w:i/>
          <w:iCs/>
          <w:lang w:eastAsia="ru-RU"/>
        </w:rPr>
      </w:pPr>
    </w:p>
    <w:p w14:paraId="664561F2" w14:textId="77777777" w:rsidR="00083973" w:rsidRPr="00E378CE" w:rsidRDefault="00083973" w:rsidP="0008397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b/>
          <w:bCs/>
          <w:i/>
          <w:iCs/>
          <w:lang w:eastAsia="ru-RU"/>
        </w:rPr>
      </w:pPr>
      <w:r w:rsidRPr="00E378CE">
        <w:rPr>
          <w:rFonts w:eastAsia="Times New Roman" w:cs="Times New Roman"/>
          <w:b/>
          <w:bCs/>
          <w:i/>
          <w:iCs/>
          <w:lang w:eastAsia="ru-RU"/>
        </w:rPr>
        <w:t>По тексту настоящего документа используются следующие термины:</w:t>
      </w:r>
    </w:p>
    <w:p w14:paraId="0ECB604D" w14:textId="014283BA" w:rsidR="00083973" w:rsidRPr="00E378CE" w:rsidRDefault="00394D38" w:rsidP="00083973">
      <w:pPr>
        <w:ind w:firstLine="540"/>
        <w:contextualSpacing/>
        <w:jc w:val="both"/>
        <w:rPr>
          <w:rFonts w:eastAsia="Times New Roman" w:cs="Times New Roman"/>
          <w:b/>
          <w:bCs/>
          <w:i/>
          <w:iCs/>
          <w:lang w:eastAsia="ru-RU"/>
        </w:rPr>
      </w:pPr>
      <w:r w:rsidRPr="00E378CE">
        <w:rPr>
          <w:rFonts w:eastAsia="Times New Roman" w:cs="Times New Roman"/>
          <w:b/>
          <w:bCs/>
          <w:i/>
          <w:iCs/>
          <w:lang w:eastAsia="ru-RU"/>
        </w:rPr>
        <w:t xml:space="preserve">Программа </w:t>
      </w:r>
      <w:r w:rsidR="00083973" w:rsidRPr="00E378CE">
        <w:rPr>
          <w:rFonts w:eastAsia="Times New Roman" w:cs="Times New Roman"/>
          <w:b/>
          <w:bCs/>
          <w:i/>
          <w:iCs/>
          <w:lang w:eastAsia="ru-RU"/>
        </w:rPr>
        <w:t xml:space="preserve">– программа биржевых облигаций, имеющая идентификационный номер </w:t>
      </w:r>
      <w:r w:rsidR="00B75F6B" w:rsidRPr="00E378CE">
        <w:rPr>
          <w:rFonts w:eastAsia="Times New Roman" w:cs="Times New Roman"/>
          <w:b/>
          <w:bCs/>
          <w:i/>
          <w:iCs/>
          <w:lang w:eastAsia="ru-RU"/>
        </w:rPr>
        <w:t>4-00407-R-001P-02E от 24.07.2019</w:t>
      </w:r>
      <w:r w:rsidR="00083973" w:rsidRPr="00E378CE">
        <w:rPr>
          <w:rFonts w:eastAsia="Times New Roman" w:cs="Times New Roman"/>
          <w:b/>
          <w:bCs/>
          <w:i/>
          <w:iCs/>
          <w:lang w:eastAsia="ru-RU"/>
        </w:rPr>
        <w:t>, в рамках которой размещается настоящий выпуск Биржевых облигаций;</w:t>
      </w:r>
    </w:p>
    <w:p w14:paraId="2B3A2637" w14:textId="77777777" w:rsidR="00083973" w:rsidRPr="00E378CE" w:rsidRDefault="00083973" w:rsidP="00083973">
      <w:pPr>
        <w:ind w:firstLine="540"/>
        <w:contextualSpacing/>
        <w:jc w:val="both"/>
        <w:rPr>
          <w:rFonts w:eastAsia="Times New Roman" w:cs="Times New Roman"/>
          <w:b/>
          <w:bCs/>
          <w:i/>
          <w:iCs/>
          <w:lang w:eastAsia="ru-RU"/>
        </w:rPr>
      </w:pPr>
      <w:r w:rsidRPr="00E378CE">
        <w:rPr>
          <w:rFonts w:eastAsia="Times New Roman" w:cs="Times New Roman"/>
          <w:b/>
          <w:bCs/>
          <w:i/>
          <w:iCs/>
          <w:lang w:eastAsia="ru-RU"/>
        </w:rPr>
        <w:t xml:space="preserve">Условия выпуска – Условия выпуска биржевых облигаций в рамках программы биржевых облигаций, документ, содержащий конкретные условия настоящего выпуска Биржевых облигаций, размещаемого в рамках Программы. </w:t>
      </w:r>
    </w:p>
    <w:p w14:paraId="70D8E751" w14:textId="369BEBE8" w:rsidR="00083973" w:rsidRPr="00E378CE" w:rsidRDefault="00083973" w:rsidP="00083973">
      <w:pPr>
        <w:ind w:firstLine="540"/>
        <w:contextualSpacing/>
        <w:jc w:val="both"/>
        <w:rPr>
          <w:rFonts w:eastAsia="Times New Roman" w:cs="Times New Roman"/>
          <w:b/>
          <w:bCs/>
          <w:i/>
          <w:iCs/>
          <w:lang w:eastAsia="ru-RU"/>
        </w:rPr>
      </w:pPr>
      <w:r w:rsidRPr="00E378CE">
        <w:rPr>
          <w:rFonts w:eastAsia="Times New Roman" w:cs="Times New Roman"/>
          <w:b/>
          <w:bCs/>
          <w:i/>
          <w:iCs/>
          <w:lang w:eastAsia="ru-RU"/>
        </w:rPr>
        <w:t>Биржевая облигация</w:t>
      </w:r>
      <w:r w:rsidR="00394D38" w:rsidRPr="00E378CE">
        <w:rPr>
          <w:rFonts w:eastAsia="Times New Roman" w:cs="Times New Roman"/>
          <w:b/>
          <w:bCs/>
          <w:i/>
          <w:iCs/>
          <w:lang w:eastAsia="ru-RU"/>
        </w:rPr>
        <w:t xml:space="preserve"> </w:t>
      </w:r>
      <w:r w:rsidRPr="00E378CE">
        <w:rPr>
          <w:rFonts w:eastAsia="Times New Roman" w:cs="Times New Roman"/>
          <w:b/>
          <w:bCs/>
          <w:i/>
          <w:iCs/>
          <w:lang w:eastAsia="ru-RU"/>
        </w:rPr>
        <w:t xml:space="preserve">– биржевая облигация, размещаемая в рамках Программы и в соответствии с Условиями выпуска. </w:t>
      </w:r>
    </w:p>
    <w:p w14:paraId="4C2EF860" w14:textId="77777777" w:rsidR="00083973" w:rsidRPr="00E378CE" w:rsidRDefault="00083973" w:rsidP="00083973">
      <w:pPr>
        <w:ind w:firstLine="540"/>
        <w:contextualSpacing/>
        <w:jc w:val="both"/>
        <w:rPr>
          <w:rFonts w:eastAsia="Times New Roman" w:cs="Times New Roman"/>
          <w:b/>
          <w:bCs/>
          <w:i/>
          <w:iCs/>
          <w:lang w:eastAsia="ru-RU"/>
        </w:rPr>
      </w:pPr>
      <w:r w:rsidRPr="00E378CE">
        <w:rPr>
          <w:rFonts w:eastAsia="Times New Roman" w:cs="Times New Roman"/>
          <w:b/>
          <w:bCs/>
          <w:i/>
          <w:iCs/>
          <w:lang w:eastAsia="ru-RU"/>
        </w:rPr>
        <w:t xml:space="preserve">Выпуск – настоящий выпуск Биржевых облигаций, размещаемых в рамках Программы. </w:t>
      </w:r>
    </w:p>
    <w:p w14:paraId="40FB4EB8" w14:textId="105443CB" w:rsidR="00083973" w:rsidRPr="00E378CE" w:rsidRDefault="00083973" w:rsidP="00083973">
      <w:pPr>
        <w:ind w:firstLine="540"/>
        <w:contextualSpacing/>
        <w:jc w:val="both"/>
        <w:rPr>
          <w:rFonts w:eastAsia="Times New Roman" w:cs="Times New Roman"/>
          <w:b/>
          <w:bCs/>
          <w:i/>
          <w:iCs/>
          <w:lang w:eastAsia="ru-RU"/>
        </w:rPr>
      </w:pPr>
      <w:r w:rsidRPr="00E378CE">
        <w:rPr>
          <w:rFonts w:eastAsia="Times New Roman" w:cs="Times New Roman"/>
          <w:b/>
          <w:bCs/>
          <w:i/>
          <w:iCs/>
          <w:lang w:eastAsia="ru-RU"/>
        </w:rPr>
        <w:t xml:space="preserve">Эмитент – </w:t>
      </w:r>
      <w:r w:rsidR="00CB6F54" w:rsidRPr="00E378CE">
        <w:rPr>
          <w:rFonts w:eastAsia="Times New Roman" w:cs="Times New Roman"/>
          <w:b/>
          <w:bCs/>
          <w:i/>
          <w:iCs/>
          <w:lang w:eastAsia="ru-RU"/>
        </w:rPr>
        <w:t>Общество с ограниченной ответственностью «Торговое предприятие «Кировский»</w:t>
      </w:r>
      <w:r w:rsidRPr="00E378CE">
        <w:rPr>
          <w:rFonts w:eastAsia="Times New Roman" w:cs="Times New Roman"/>
          <w:b/>
          <w:bCs/>
          <w:i/>
          <w:iCs/>
          <w:lang w:eastAsia="ru-RU"/>
        </w:rPr>
        <w:t>.</w:t>
      </w:r>
    </w:p>
    <w:p w14:paraId="0407CC81" w14:textId="77777777" w:rsidR="00083973" w:rsidRPr="00E378CE" w:rsidRDefault="00083973" w:rsidP="00083973">
      <w:pPr>
        <w:ind w:firstLine="540"/>
        <w:contextualSpacing/>
        <w:jc w:val="both"/>
        <w:rPr>
          <w:rFonts w:eastAsia="Times New Roman" w:cs="Times New Roman"/>
          <w:b/>
          <w:bCs/>
          <w:i/>
          <w:iCs/>
          <w:lang w:eastAsia="ru-RU"/>
        </w:rPr>
      </w:pPr>
    </w:p>
    <w:p w14:paraId="3A3D144E" w14:textId="77777777" w:rsidR="00083973" w:rsidRPr="00E378CE" w:rsidRDefault="00083973" w:rsidP="00083973">
      <w:pPr>
        <w:ind w:firstLine="540"/>
        <w:contextualSpacing/>
        <w:jc w:val="both"/>
        <w:rPr>
          <w:rFonts w:eastAsia="Times New Roman" w:cs="Times New Roman"/>
          <w:b/>
          <w:bCs/>
          <w:i/>
          <w:iCs/>
          <w:lang w:eastAsia="ru-RU"/>
        </w:rPr>
      </w:pPr>
      <w:r w:rsidRPr="00E378CE">
        <w:rPr>
          <w:rFonts w:eastAsia="Times New Roman" w:cs="Times New Roman"/>
          <w:b/>
          <w:bCs/>
          <w:i/>
          <w:iCs/>
          <w:lang w:eastAsia="ru-RU"/>
        </w:rPr>
        <w:t>Иные термины, используемые в Сертификате, имеют значение, определенное в Программе.</w:t>
      </w:r>
    </w:p>
    <w:p w14:paraId="5440CAF4" w14:textId="77777777" w:rsidR="00083973" w:rsidRPr="00E378CE" w:rsidRDefault="00083973" w:rsidP="00083973">
      <w:pPr>
        <w:ind w:firstLine="540"/>
        <w:contextualSpacing/>
        <w:jc w:val="both"/>
      </w:pPr>
    </w:p>
    <w:p w14:paraId="54B6CB94" w14:textId="01B43756" w:rsidR="00083973" w:rsidRPr="00E378CE" w:rsidRDefault="00083973" w:rsidP="0008397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bCs/>
          <w:i/>
          <w:iCs/>
          <w:szCs w:val="22"/>
        </w:rPr>
      </w:pPr>
      <w:r w:rsidRPr="00E378CE">
        <w:rPr>
          <w:rFonts w:ascii="Times New Roman" w:hAnsi="Times New Roman" w:cs="Times New Roman"/>
          <w:b/>
          <w:bCs/>
          <w:i/>
          <w:iCs/>
          <w:szCs w:val="22"/>
        </w:rPr>
        <w:t xml:space="preserve">Срок обращения Биржевых облигаций (в днях) – </w:t>
      </w:r>
      <w:r w:rsidR="00873E3E" w:rsidRPr="00E378CE">
        <w:rPr>
          <w:rFonts w:ascii="Times New Roman" w:hAnsi="Times New Roman" w:cs="Times New Roman"/>
          <w:b/>
          <w:bCs/>
          <w:i/>
          <w:iCs/>
          <w:szCs w:val="22"/>
        </w:rPr>
        <w:t>3 640 (Три тысячи шестьсот сорок)</w:t>
      </w:r>
      <w:r w:rsidRPr="00E378CE">
        <w:rPr>
          <w:rFonts w:ascii="Times New Roman" w:hAnsi="Times New Roman" w:cs="Times New Roman"/>
          <w:b/>
          <w:bCs/>
          <w:i/>
          <w:iCs/>
          <w:szCs w:val="22"/>
        </w:rPr>
        <w:t xml:space="preserve"> дн</w:t>
      </w:r>
      <w:r w:rsidR="001840C7" w:rsidRPr="00E378CE">
        <w:rPr>
          <w:rFonts w:ascii="Times New Roman" w:hAnsi="Times New Roman" w:cs="Times New Roman"/>
          <w:b/>
          <w:bCs/>
          <w:i/>
          <w:iCs/>
          <w:szCs w:val="22"/>
        </w:rPr>
        <w:t>ей</w:t>
      </w:r>
      <w:r w:rsidR="00394D38" w:rsidRPr="00E378CE">
        <w:rPr>
          <w:rFonts w:ascii="Times New Roman" w:hAnsi="Times New Roman" w:cs="Times New Roman"/>
          <w:b/>
          <w:bCs/>
          <w:i/>
          <w:iCs/>
          <w:szCs w:val="22"/>
        </w:rPr>
        <w:t xml:space="preserve"> </w:t>
      </w:r>
      <w:r w:rsidRPr="00E378CE">
        <w:rPr>
          <w:rFonts w:ascii="Times New Roman" w:hAnsi="Times New Roman" w:cs="Times New Roman"/>
          <w:b/>
          <w:bCs/>
          <w:i/>
          <w:iCs/>
          <w:szCs w:val="22"/>
        </w:rPr>
        <w:t>с даты начала размещения Биржевых облигаций.</w:t>
      </w:r>
    </w:p>
    <w:p w14:paraId="03ACDDE9" w14:textId="77777777" w:rsidR="00083973" w:rsidRPr="00E378CE" w:rsidRDefault="00083973" w:rsidP="00083973">
      <w:pPr>
        <w:adjustRightInd w:val="0"/>
        <w:spacing w:after="120"/>
        <w:contextualSpacing/>
        <w:jc w:val="both"/>
        <w:rPr>
          <w:rFonts w:eastAsia="Times New Roman" w:cs="Times New Roman"/>
          <w:color w:val="000000"/>
          <w:lang w:eastAsia="ru-RU"/>
        </w:rPr>
      </w:pPr>
    </w:p>
    <w:p w14:paraId="19C9F1C3" w14:textId="77777777" w:rsidR="00083973" w:rsidRPr="00E378CE" w:rsidRDefault="00083973" w:rsidP="00083973">
      <w:pPr>
        <w:adjustRightInd w:val="0"/>
        <w:spacing w:after="120"/>
        <w:ind w:firstLine="540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  <w:r w:rsidRPr="00E378CE">
        <w:rPr>
          <w:rFonts w:eastAsia="Times New Roman" w:cs="Times New Roman"/>
          <w:color w:val="000000"/>
          <w:lang w:eastAsia="ru-RU"/>
        </w:rPr>
        <w:t>2. Права владельца каждой Биржевой облигации выпуска:</w:t>
      </w:r>
    </w:p>
    <w:p w14:paraId="734C8F91" w14:textId="77777777" w:rsidR="00083973" w:rsidRPr="00E378CE" w:rsidRDefault="00083973" w:rsidP="00083973">
      <w:pPr>
        <w:adjustRightInd w:val="0"/>
        <w:spacing w:after="120"/>
        <w:ind w:firstLine="540"/>
        <w:contextualSpacing/>
        <w:jc w:val="both"/>
        <w:rPr>
          <w:b/>
          <w:i/>
        </w:rPr>
      </w:pPr>
    </w:p>
    <w:p w14:paraId="335868D5" w14:textId="77777777" w:rsidR="004621D6" w:rsidRPr="00E378CE" w:rsidRDefault="004621D6" w:rsidP="004621D6">
      <w:pPr>
        <w:pStyle w:val="Basic"/>
        <w:rPr>
          <w:b/>
          <w:bCs/>
          <w:i/>
          <w:iCs/>
          <w:szCs w:val="22"/>
        </w:rPr>
      </w:pPr>
      <w:r w:rsidRPr="00E378CE">
        <w:rPr>
          <w:b/>
          <w:bCs/>
          <w:i/>
          <w:iCs/>
          <w:szCs w:val="22"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14:paraId="61BA7CA8" w14:textId="77777777" w:rsidR="004621D6" w:rsidRPr="00E378CE" w:rsidRDefault="004621D6" w:rsidP="004621D6">
      <w:pPr>
        <w:pStyle w:val="Basic"/>
        <w:rPr>
          <w:b/>
          <w:bCs/>
          <w:i/>
          <w:iCs/>
          <w:szCs w:val="22"/>
        </w:rPr>
      </w:pPr>
      <w:r w:rsidRPr="00E378CE">
        <w:rPr>
          <w:b/>
          <w:bCs/>
          <w:i/>
          <w:iCs/>
          <w:szCs w:val="22"/>
        </w:rPr>
        <w:t>В случае расхождений между текстом Программы, Условий выпуска и данными, приведенными в Сертификате Биржевых облигаций, владелец имеет право требовать осуществления прав, закрепленных Биржевыми облигациями, в объеме, установленном Сертификатом.</w:t>
      </w:r>
    </w:p>
    <w:p w14:paraId="4A4D2B99" w14:textId="77777777" w:rsidR="004621D6" w:rsidRPr="00E378CE" w:rsidRDefault="004621D6" w:rsidP="004621D6">
      <w:pPr>
        <w:pStyle w:val="Basic"/>
        <w:rPr>
          <w:b/>
          <w:bCs/>
          <w:i/>
          <w:iCs/>
          <w:szCs w:val="22"/>
        </w:rPr>
      </w:pPr>
      <w:r w:rsidRPr="00E378CE">
        <w:rPr>
          <w:b/>
          <w:bCs/>
          <w:i/>
          <w:iCs/>
          <w:szCs w:val="22"/>
        </w:rPr>
        <w:t>Владелец Биржевой облигации имеет право:</w:t>
      </w:r>
    </w:p>
    <w:p w14:paraId="429934DE" w14:textId="74052698" w:rsidR="004621D6" w:rsidRPr="00E378CE" w:rsidRDefault="004621D6" w:rsidP="00C36FE5">
      <w:pPr>
        <w:pStyle w:val="Basic"/>
        <w:rPr>
          <w:b/>
          <w:bCs/>
          <w:i/>
          <w:iCs/>
          <w:szCs w:val="22"/>
        </w:rPr>
      </w:pPr>
      <w:r w:rsidRPr="00E378CE">
        <w:rPr>
          <w:b/>
          <w:bCs/>
          <w:i/>
          <w:iCs/>
          <w:szCs w:val="22"/>
        </w:rPr>
        <w:t>- на получение при погашении Биржевой облигации в предусмотренный ею срок номинальной стоимости Биржевой облигации</w:t>
      </w:r>
      <w:r w:rsidR="00C36FE5" w:rsidRPr="00E378CE">
        <w:rPr>
          <w:b/>
          <w:bCs/>
          <w:i/>
          <w:iCs/>
          <w:szCs w:val="22"/>
        </w:rPr>
        <w:t>;</w:t>
      </w:r>
    </w:p>
    <w:p w14:paraId="0A8E0F87" w14:textId="77777777" w:rsidR="004621D6" w:rsidRPr="00E378CE" w:rsidRDefault="004621D6" w:rsidP="004621D6">
      <w:pPr>
        <w:pStyle w:val="Basic"/>
        <w:rPr>
          <w:b/>
          <w:bCs/>
          <w:i/>
          <w:iCs/>
        </w:rPr>
      </w:pPr>
      <w:r w:rsidRPr="00E378CE">
        <w:rPr>
          <w:b/>
          <w:bCs/>
          <w:i/>
          <w:iCs/>
        </w:rPr>
        <w:t xml:space="preserve">- требовать досрочного погашения Биржевых облигаций и выплаты ему накопленного купонного дохода по Биржевым облигациям в порядке и случаях, указанных в п. 9.5.1. Программы, а также предусмотренных законодательством Российской Федерации. </w:t>
      </w:r>
    </w:p>
    <w:p w14:paraId="06F67095" w14:textId="77777777" w:rsidR="004621D6" w:rsidRPr="00E378CE" w:rsidRDefault="004621D6" w:rsidP="004621D6">
      <w:pPr>
        <w:pStyle w:val="Basic"/>
        <w:rPr>
          <w:b/>
          <w:bCs/>
          <w:i/>
          <w:iCs/>
        </w:rPr>
      </w:pPr>
      <w:r w:rsidRPr="00E378CE">
        <w:rPr>
          <w:b/>
          <w:bCs/>
          <w:i/>
          <w:iCs/>
        </w:rPr>
        <w:t>- требовать приобретения Биржевых облигаций Эмитентом в случаях и на условиях, указанных в п. 10.1. Программы.</w:t>
      </w:r>
    </w:p>
    <w:p w14:paraId="3749C2FF" w14:textId="6CAEF4CC" w:rsidR="004621D6" w:rsidRPr="00E378CE" w:rsidRDefault="004621D6" w:rsidP="004621D6">
      <w:pPr>
        <w:pStyle w:val="Basic"/>
        <w:rPr>
          <w:b/>
          <w:bCs/>
          <w:i/>
          <w:iCs/>
          <w:szCs w:val="22"/>
        </w:rPr>
      </w:pPr>
      <w:r w:rsidRPr="00E378CE">
        <w:rPr>
          <w:b/>
          <w:bCs/>
          <w:i/>
          <w:iCs/>
          <w:szCs w:val="22"/>
        </w:rPr>
        <w:t>Владелец Биржевой облигации имеет право на получение дохода (процента), порядок определения размера которого указан в п. 9.3 Программы, а сроки выплаты - в п. 9.4. Программы.</w:t>
      </w:r>
    </w:p>
    <w:p w14:paraId="23CA7353" w14:textId="77777777" w:rsidR="004621D6" w:rsidRPr="00E378CE" w:rsidRDefault="004621D6" w:rsidP="004621D6">
      <w:pPr>
        <w:pStyle w:val="Basic"/>
        <w:rPr>
          <w:b/>
          <w:bCs/>
          <w:i/>
          <w:iCs/>
          <w:szCs w:val="22"/>
        </w:rPr>
      </w:pPr>
      <w:r w:rsidRPr="00E378CE">
        <w:rPr>
          <w:b/>
          <w:bCs/>
          <w:i/>
          <w:iCs/>
          <w:szCs w:val="22"/>
        </w:rPr>
        <w:t xml:space="preserve"> </w:t>
      </w:r>
    </w:p>
    <w:p w14:paraId="28B703F5" w14:textId="77777777" w:rsidR="004621D6" w:rsidRPr="00E378CE" w:rsidRDefault="004621D6" w:rsidP="004621D6">
      <w:pPr>
        <w:pStyle w:val="Basic"/>
        <w:rPr>
          <w:b/>
          <w:bCs/>
          <w:i/>
          <w:iCs/>
          <w:szCs w:val="22"/>
        </w:rPr>
      </w:pPr>
      <w:r w:rsidRPr="00E378CE">
        <w:rPr>
          <w:b/>
          <w:bCs/>
          <w:i/>
          <w:iCs/>
          <w:szCs w:val="22"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14:paraId="101F8874" w14:textId="77777777" w:rsidR="004621D6" w:rsidRPr="00E378CE" w:rsidRDefault="004621D6" w:rsidP="004621D6">
      <w:pPr>
        <w:pStyle w:val="Basic"/>
        <w:rPr>
          <w:b/>
          <w:bCs/>
          <w:i/>
          <w:iCs/>
          <w:szCs w:val="22"/>
        </w:rPr>
      </w:pPr>
      <w:r w:rsidRPr="00E378CE">
        <w:rPr>
          <w:b/>
          <w:bCs/>
          <w:i/>
          <w:iCs/>
          <w:szCs w:val="22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24C27155" w14:textId="77777777" w:rsidR="004621D6" w:rsidRPr="00E378CE" w:rsidRDefault="004621D6" w:rsidP="004621D6">
      <w:pPr>
        <w:pStyle w:val="Basic"/>
        <w:rPr>
          <w:szCs w:val="22"/>
        </w:rPr>
      </w:pPr>
    </w:p>
    <w:p w14:paraId="52827D47" w14:textId="77777777" w:rsidR="004621D6" w:rsidRPr="00E378CE" w:rsidRDefault="004621D6" w:rsidP="004621D6">
      <w:pPr>
        <w:pStyle w:val="Basic"/>
        <w:rPr>
          <w:b/>
          <w:bCs/>
          <w:i/>
          <w:iCs/>
          <w:szCs w:val="22"/>
        </w:rPr>
      </w:pPr>
      <w:r w:rsidRPr="00E378CE">
        <w:rPr>
          <w:b/>
          <w:bCs/>
          <w:i/>
          <w:iCs/>
          <w:szCs w:val="22"/>
        </w:rPr>
        <w:t>Предоставления обеспечения по Биржевым облигациям не предусмотрено.</w:t>
      </w:r>
    </w:p>
    <w:p w14:paraId="730CFDDB" w14:textId="77777777" w:rsidR="004621D6" w:rsidRPr="00E378CE" w:rsidRDefault="004621D6" w:rsidP="004621D6">
      <w:pPr>
        <w:pStyle w:val="Basic"/>
        <w:rPr>
          <w:b/>
          <w:bCs/>
          <w:i/>
          <w:iCs/>
          <w:szCs w:val="22"/>
        </w:rPr>
      </w:pPr>
    </w:p>
    <w:p w14:paraId="5473BE6E" w14:textId="77777777" w:rsidR="004621D6" w:rsidRPr="00E378CE" w:rsidRDefault="004621D6" w:rsidP="004621D6">
      <w:pPr>
        <w:pStyle w:val="Basic"/>
        <w:rPr>
          <w:b/>
          <w:bCs/>
          <w:i/>
          <w:iCs/>
          <w:szCs w:val="22"/>
        </w:rPr>
      </w:pPr>
      <w:r w:rsidRPr="00E378CE">
        <w:rPr>
          <w:b/>
          <w:bCs/>
          <w:i/>
          <w:iCs/>
          <w:szCs w:val="22"/>
        </w:rPr>
        <w:t>Размещаемые ценные бумаги не являются ценными бумагами, предназначенными для квалифицированных инвесторов.</w:t>
      </w:r>
    </w:p>
    <w:p w14:paraId="05617AC4" w14:textId="1FA5B689" w:rsidR="00E95DEF" w:rsidRPr="00E378CE" w:rsidRDefault="00E95DEF" w:rsidP="001840C7">
      <w:pPr>
        <w:pStyle w:val="Basic"/>
        <w:rPr>
          <w:b/>
          <w:bCs/>
          <w:i/>
          <w:iCs/>
        </w:rPr>
      </w:pPr>
      <w:r w:rsidRPr="00E378CE">
        <w:rPr>
          <w:b/>
          <w:bCs/>
          <w:i/>
          <w:iCs/>
        </w:rPr>
        <w:t xml:space="preserve"> </w:t>
      </w:r>
      <w:r w:rsidRPr="00E378CE">
        <w:rPr>
          <w:b/>
          <w:bCs/>
          <w:i/>
          <w:iCs/>
        </w:rPr>
        <w:br w:type="page"/>
      </w:r>
    </w:p>
    <w:p w14:paraId="07AF6C07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6FCFEC35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16A598C7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69E2D6F1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3E5CD4C9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0A5BF8D1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05651C95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13062B84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6EC020F2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5BBCD461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762C7FCD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242FD143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597BBF7F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7B6E41E6" w14:textId="77777777" w:rsidR="00E95DEF" w:rsidRPr="00E378CE" w:rsidRDefault="00E95DEF" w:rsidP="00E95DEF">
      <w:pPr>
        <w:ind w:firstLine="539"/>
        <w:jc w:val="both"/>
        <w:rPr>
          <w:b/>
          <w:bCs/>
          <w:i/>
          <w:iCs/>
        </w:rPr>
      </w:pPr>
    </w:p>
    <w:p w14:paraId="4FE321CB" w14:textId="77777777" w:rsidR="00E95DEF" w:rsidRPr="00CC0CBE" w:rsidRDefault="00E95DEF" w:rsidP="00E95DEF">
      <w:pPr>
        <w:ind w:firstLine="539"/>
        <w:jc w:val="both"/>
        <w:rPr>
          <w:b/>
          <w:bCs/>
          <w:i/>
          <w:iCs/>
        </w:rPr>
      </w:pPr>
      <w:r w:rsidRPr="00E378CE"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451B8" wp14:editId="700FEC0A">
                <wp:simplePos x="0" y="0"/>
                <wp:positionH relativeFrom="column">
                  <wp:posOffset>2108835</wp:posOffset>
                </wp:positionH>
                <wp:positionV relativeFrom="paragraph">
                  <wp:posOffset>1898015</wp:posOffset>
                </wp:positionV>
                <wp:extent cx="2209800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76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66.05pt;margin-top:149.45pt;width:17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XV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"/>
            </w:pict>
          </mc:Fallback>
        </mc:AlternateContent>
      </w:r>
      <w:r w:rsidRPr="00E378CE"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F2090" wp14:editId="63F10190">
                <wp:simplePos x="0" y="0"/>
                <wp:positionH relativeFrom="column">
                  <wp:posOffset>451485</wp:posOffset>
                </wp:positionH>
                <wp:positionV relativeFrom="paragraph">
                  <wp:posOffset>4031615</wp:posOffset>
                </wp:positionV>
                <wp:extent cx="5314950" cy="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3ABD" id="AutoShape 9" o:spid="_x0000_s1026" type="#_x0000_t32" style="position:absolute;margin-left:35.55pt;margin-top:317.45pt;width:41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0n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RxjMYV0BUpbY2NEiP6tU8a/rdIaWrjqiWx+C3k4HcLGQk71LCxRkoshu+aAYxBPDj&#10;rI6N7QMkTAEdoySnmyT86BGFj7Npli9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"/>
            </w:pict>
          </mc:Fallback>
        </mc:AlternateContent>
      </w:r>
      <w:r w:rsidRPr="00E378CE"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5D591" wp14:editId="396EF6DD">
                <wp:simplePos x="0" y="0"/>
                <wp:positionH relativeFrom="column">
                  <wp:posOffset>451485</wp:posOffset>
                </wp:positionH>
                <wp:positionV relativeFrom="paragraph">
                  <wp:posOffset>107315</wp:posOffset>
                </wp:positionV>
                <wp:extent cx="5114925" cy="39243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4925" cy="392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0BAE" id="AutoShape 7" o:spid="_x0000_s1026" type="#_x0000_t32" style="position:absolute;margin-left:35.55pt;margin-top:8.45pt;width:402.75pt;height:30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WFNKgIAAEs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"/>
            </w:pict>
          </mc:Fallback>
        </mc:AlternateContent>
      </w:r>
      <w:r w:rsidRPr="00E378CE"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1584B" wp14:editId="5BA5378C">
                <wp:simplePos x="0" y="0"/>
                <wp:positionH relativeFrom="column">
                  <wp:posOffset>394335</wp:posOffset>
                </wp:positionH>
                <wp:positionV relativeFrom="paragraph">
                  <wp:posOffset>107315</wp:posOffset>
                </wp:positionV>
                <wp:extent cx="5172075" cy="952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F40C" id="AutoShape 6" o:spid="_x0000_s1026" type="#_x0000_t32" style="position:absolute;margin-left:31.05pt;margin-top:8.45pt;width:407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Jp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"/>
            </w:pict>
          </mc:Fallback>
        </mc:AlternateContent>
      </w:r>
    </w:p>
    <w:p w14:paraId="14BCB9FC" w14:textId="5AFF785B" w:rsidR="0003676A" w:rsidRPr="00394D38" w:rsidRDefault="0003676A" w:rsidP="00394D38">
      <w:pPr>
        <w:ind w:firstLine="539"/>
        <w:jc w:val="both"/>
        <w:rPr>
          <w:rFonts w:cs="Times New Roman"/>
          <w:b/>
          <w:bCs/>
          <w:i/>
          <w:iCs/>
          <w:szCs w:val="20"/>
        </w:rPr>
      </w:pPr>
    </w:p>
    <w:sectPr w:rsidR="0003676A" w:rsidRPr="00394D38" w:rsidSect="006965CB">
      <w:footerReference w:type="default" r:id="rId7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64DD3" w14:textId="77777777" w:rsidR="009F6F85" w:rsidRDefault="009F6F85" w:rsidP="006B752F">
      <w:r>
        <w:separator/>
      </w:r>
    </w:p>
  </w:endnote>
  <w:endnote w:type="continuationSeparator" w:id="0">
    <w:p w14:paraId="65348C9A" w14:textId="77777777" w:rsidR="009F6F85" w:rsidRDefault="009F6F85" w:rsidP="006B752F">
      <w:r>
        <w:continuationSeparator/>
      </w:r>
    </w:p>
  </w:endnote>
  <w:endnote w:type="continuationNotice" w:id="1">
    <w:p w14:paraId="02827001" w14:textId="77777777" w:rsidR="009F6F85" w:rsidRDefault="009F6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564644"/>
      <w:docPartObj>
        <w:docPartGallery w:val="Page Numbers (Bottom of Page)"/>
        <w:docPartUnique/>
      </w:docPartObj>
    </w:sdtPr>
    <w:sdtEndPr/>
    <w:sdtContent>
      <w:p w14:paraId="0EE24DDD" w14:textId="0B49852B" w:rsidR="00C216C0" w:rsidRDefault="00C216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C5A">
          <w:rPr>
            <w:noProof/>
          </w:rPr>
          <w:t>2</w:t>
        </w:r>
        <w:r>
          <w:fldChar w:fldCharType="end"/>
        </w:r>
      </w:p>
    </w:sdtContent>
  </w:sdt>
  <w:p w14:paraId="1AD1E1EB" w14:textId="77777777" w:rsidR="00C216C0" w:rsidRDefault="00C216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1069" w14:textId="77777777" w:rsidR="009F6F85" w:rsidRDefault="009F6F85" w:rsidP="006B752F">
      <w:r>
        <w:separator/>
      </w:r>
    </w:p>
  </w:footnote>
  <w:footnote w:type="continuationSeparator" w:id="0">
    <w:p w14:paraId="0C390C0F" w14:textId="77777777" w:rsidR="009F6F85" w:rsidRDefault="009F6F85" w:rsidP="006B752F">
      <w:r>
        <w:continuationSeparator/>
      </w:r>
    </w:p>
  </w:footnote>
  <w:footnote w:type="continuationNotice" w:id="1">
    <w:p w14:paraId="522AEC07" w14:textId="77777777" w:rsidR="009F6F85" w:rsidRDefault="009F6F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5C"/>
    <w:rsid w:val="00002CDE"/>
    <w:rsid w:val="000115B5"/>
    <w:rsid w:val="00012537"/>
    <w:rsid w:val="00014402"/>
    <w:rsid w:val="00015BF1"/>
    <w:rsid w:val="00016984"/>
    <w:rsid w:val="0002217C"/>
    <w:rsid w:val="0002228A"/>
    <w:rsid w:val="00034E78"/>
    <w:rsid w:val="0003676A"/>
    <w:rsid w:val="00042E60"/>
    <w:rsid w:val="00043AF4"/>
    <w:rsid w:val="000462B3"/>
    <w:rsid w:val="00050823"/>
    <w:rsid w:val="00050DC9"/>
    <w:rsid w:val="000525B1"/>
    <w:rsid w:val="00054E4A"/>
    <w:rsid w:val="00056385"/>
    <w:rsid w:val="00056A77"/>
    <w:rsid w:val="0006266C"/>
    <w:rsid w:val="000714AC"/>
    <w:rsid w:val="000773D6"/>
    <w:rsid w:val="0008013A"/>
    <w:rsid w:val="00083973"/>
    <w:rsid w:val="000854C0"/>
    <w:rsid w:val="00094A3B"/>
    <w:rsid w:val="00095F37"/>
    <w:rsid w:val="000A23B2"/>
    <w:rsid w:val="000A354C"/>
    <w:rsid w:val="000A62D5"/>
    <w:rsid w:val="000B056E"/>
    <w:rsid w:val="000B2979"/>
    <w:rsid w:val="000B3F6D"/>
    <w:rsid w:val="000C12FF"/>
    <w:rsid w:val="000C4D5F"/>
    <w:rsid w:val="000C6662"/>
    <w:rsid w:val="000D00D7"/>
    <w:rsid w:val="000D5F48"/>
    <w:rsid w:val="000D7256"/>
    <w:rsid w:val="000E3D78"/>
    <w:rsid w:val="000E6251"/>
    <w:rsid w:val="000E71D3"/>
    <w:rsid w:val="000F2F85"/>
    <w:rsid w:val="001063EE"/>
    <w:rsid w:val="00123F67"/>
    <w:rsid w:val="0012438B"/>
    <w:rsid w:val="0012478A"/>
    <w:rsid w:val="00126BBC"/>
    <w:rsid w:val="0014091D"/>
    <w:rsid w:val="00143731"/>
    <w:rsid w:val="00160DD5"/>
    <w:rsid w:val="001626FF"/>
    <w:rsid w:val="001715BA"/>
    <w:rsid w:val="001730C2"/>
    <w:rsid w:val="00183629"/>
    <w:rsid w:val="001840C7"/>
    <w:rsid w:val="00197C43"/>
    <w:rsid w:val="00197C5A"/>
    <w:rsid w:val="001B3F5B"/>
    <w:rsid w:val="001B7858"/>
    <w:rsid w:val="001E6653"/>
    <w:rsid w:val="001F75D3"/>
    <w:rsid w:val="00202DC9"/>
    <w:rsid w:val="00213209"/>
    <w:rsid w:val="00217694"/>
    <w:rsid w:val="00227122"/>
    <w:rsid w:val="00231E0B"/>
    <w:rsid w:val="002405E1"/>
    <w:rsid w:val="002440B0"/>
    <w:rsid w:val="002502CD"/>
    <w:rsid w:val="0025471E"/>
    <w:rsid w:val="00257E36"/>
    <w:rsid w:val="00257E79"/>
    <w:rsid w:val="00274795"/>
    <w:rsid w:val="002832F0"/>
    <w:rsid w:val="00284746"/>
    <w:rsid w:val="002918F8"/>
    <w:rsid w:val="002D3032"/>
    <w:rsid w:val="002D3BFF"/>
    <w:rsid w:val="002F02A0"/>
    <w:rsid w:val="002F07BC"/>
    <w:rsid w:val="002F4AAD"/>
    <w:rsid w:val="002F7900"/>
    <w:rsid w:val="00304DAD"/>
    <w:rsid w:val="003172CA"/>
    <w:rsid w:val="003218D2"/>
    <w:rsid w:val="00330B99"/>
    <w:rsid w:val="00345846"/>
    <w:rsid w:val="0034744D"/>
    <w:rsid w:val="00351F1A"/>
    <w:rsid w:val="003615D6"/>
    <w:rsid w:val="00362EF6"/>
    <w:rsid w:val="0037001B"/>
    <w:rsid w:val="003715D0"/>
    <w:rsid w:val="0037715C"/>
    <w:rsid w:val="003850D0"/>
    <w:rsid w:val="00394D38"/>
    <w:rsid w:val="003B22C8"/>
    <w:rsid w:val="003C0C1F"/>
    <w:rsid w:val="003D1C6E"/>
    <w:rsid w:val="003D48C6"/>
    <w:rsid w:val="003D5997"/>
    <w:rsid w:val="003E4689"/>
    <w:rsid w:val="004022F9"/>
    <w:rsid w:val="0041264D"/>
    <w:rsid w:val="00412763"/>
    <w:rsid w:val="00413502"/>
    <w:rsid w:val="0043363E"/>
    <w:rsid w:val="00434968"/>
    <w:rsid w:val="0043636F"/>
    <w:rsid w:val="00450AE0"/>
    <w:rsid w:val="00456371"/>
    <w:rsid w:val="004621D6"/>
    <w:rsid w:val="0047115E"/>
    <w:rsid w:val="0048488F"/>
    <w:rsid w:val="004851B6"/>
    <w:rsid w:val="00486886"/>
    <w:rsid w:val="004A383F"/>
    <w:rsid w:val="004B5181"/>
    <w:rsid w:val="004B5CFF"/>
    <w:rsid w:val="004C0417"/>
    <w:rsid w:val="004C250E"/>
    <w:rsid w:val="004C767A"/>
    <w:rsid w:val="004C7B0E"/>
    <w:rsid w:val="004E2ACA"/>
    <w:rsid w:val="004E5E68"/>
    <w:rsid w:val="004F41B1"/>
    <w:rsid w:val="00507D9F"/>
    <w:rsid w:val="005150FC"/>
    <w:rsid w:val="005172B2"/>
    <w:rsid w:val="00527080"/>
    <w:rsid w:val="005565AA"/>
    <w:rsid w:val="00557821"/>
    <w:rsid w:val="0056298A"/>
    <w:rsid w:val="00563982"/>
    <w:rsid w:val="005827ED"/>
    <w:rsid w:val="00582CC3"/>
    <w:rsid w:val="005921AD"/>
    <w:rsid w:val="0059685E"/>
    <w:rsid w:val="005A287C"/>
    <w:rsid w:val="005A3801"/>
    <w:rsid w:val="005B170D"/>
    <w:rsid w:val="005B47F3"/>
    <w:rsid w:val="005C02DA"/>
    <w:rsid w:val="005C2992"/>
    <w:rsid w:val="005C38CE"/>
    <w:rsid w:val="005C5B6D"/>
    <w:rsid w:val="005E1DE9"/>
    <w:rsid w:val="005E58EF"/>
    <w:rsid w:val="005E5A8A"/>
    <w:rsid w:val="005F2A2B"/>
    <w:rsid w:val="005F4645"/>
    <w:rsid w:val="005F4BDA"/>
    <w:rsid w:val="00601C64"/>
    <w:rsid w:val="00611FD8"/>
    <w:rsid w:val="00615A8E"/>
    <w:rsid w:val="0064527A"/>
    <w:rsid w:val="0064792B"/>
    <w:rsid w:val="00664466"/>
    <w:rsid w:val="0066732D"/>
    <w:rsid w:val="006811A7"/>
    <w:rsid w:val="00691862"/>
    <w:rsid w:val="0069221D"/>
    <w:rsid w:val="0069599F"/>
    <w:rsid w:val="006965CB"/>
    <w:rsid w:val="006967E0"/>
    <w:rsid w:val="00697A96"/>
    <w:rsid w:val="006B09A2"/>
    <w:rsid w:val="006B752F"/>
    <w:rsid w:val="006C05AD"/>
    <w:rsid w:val="006D00DF"/>
    <w:rsid w:val="006D3181"/>
    <w:rsid w:val="006E4062"/>
    <w:rsid w:val="006F40EB"/>
    <w:rsid w:val="007104FD"/>
    <w:rsid w:val="00715DCF"/>
    <w:rsid w:val="00716FA9"/>
    <w:rsid w:val="00723830"/>
    <w:rsid w:val="00732A22"/>
    <w:rsid w:val="00743EAB"/>
    <w:rsid w:val="00762DAF"/>
    <w:rsid w:val="00764440"/>
    <w:rsid w:val="00773D69"/>
    <w:rsid w:val="0077452B"/>
    <w:rsid w:val="00793541"/>
    <w:rsid w:val="007951C2"/>
    <w:rsid w:val="007970BB"/>
    <w:rsid w:val="007A5C4D"/>
    <w:rsid w:val="007C614B"/>
    <w:rsid w:val="007D2768"/>
    <w:rsid w:val="007D7B79"/>
    <w:rsid w:val="007E0336"/>
    <w:rsid w:val="007E2A01"/>
    <w:rsid w:val="007E6F3B"/>
    <w:rsid w:val="007E7AC7"/>
    <w:rsid w:val="007F0E45"/>
    <w:rsid w:val="007F3CA9"/>
    <w:rsid w:val="007F7142"/>
    <w:rsid w:val="00801C64"/>
    <w:rsid w:val="00801FD5"/>
    <w:rsid w:val="008038A8"/>
    <w:rsid w:val="00811DA1"/>
    <w:rsid w:val="008162B1"/>
    <w:rsid w:val="008246B3"/>
    <w:rsid w:val="00833077"/>
    <w:rsid w:val="0084189D"/>
    <w:rsid w:val="00845375"/>
    <w:rsid w:val="00852087"/>
    <w:rsid w:val="008526AA"/>
    <w:rsid w:val="00856C9E"/>
    <w:rsid w:val="00861173"/>
    <w:rsid w:val="00862909"/>
    <w:rsid w:val="00873E3E"/>
    <w:rsid w:val="00884833"/>
    <w:rsid w:val="00887F54"/>
    <w:rsid w:val="00895511"/>
    <w:rsid w:val="008A1C31"/>
    <w:rsid w:val="008B1378"/>
    <w:rsid w:val="008B5CC0"/>
    <w:rsid w:val="008E1F92"/>
    <w:rsid w:val="008E42A9"/>
    <w:rsid w:val="008E5DCF"/>
    <w:rsid w:val="008F6910"/>
    <w:rsid w:val="008F6F56"/>
    <w:rsid w:val="008F7903"/>
    <w:rsid w:val="00911412"/>
    <w:rsid w:val="009123BA"/>
    <w:rsid w:val="0091281A"/>
    <w:rsid w:val="00922953"/>
    <w:rsid w:val="00923A0D"/>
    <w:rsid w:val="00923D95"/>
    <w:rsid w:val="00940823"/>
    <w:rsid w:val="00941C4B"/>
    <w:rsid w:val="009432B8"/>
    <w:rsid w:val="00947DD2"/>
    <w:rsid w:val="00955EF8"/>
    <w:rsid w:val="00965D0C"/>
    <w:rsid w:val="009754AC"/>
    <w:rsid w:val="009821A3"/>
    <w:rsid w:val="009946F1"/>
    <w:rsid w:val="009A557A"/>
    <w:rsid w:val="009B12AA"/>
    <w:rsid w:val="009B3659"/>
    <w:rsid w:val="009B78AD"/>
    <w:rsid w:val="009D3EF0"/>
    <w:rsid w:val="009D6A63"/>
    <w:rsid w:val="009D6C69"/>
    <w:rsid w:val="009E10C6"/>
    <w:rsid w:val="009E5AA7"/>
    <w:rsid w:val="009F674F"/>
    <w:rsid w:val="009F6F85"/>
    <w:rsid w:val="00A03AC4"/>
    <w:rsid w:val="00A1397C"/>
    <w:rsid w:val="00A276F3"/>
    <w:rsid w:val="00A3198E"/>
    <w:rsid w:val="00A5342F"/>
    <w:rsid w:val="00A55016"/>
    <w:rsid w:val="00A579B6"/>
    <w:rsid w:val="00A61955"/>
    <w:rsid w:val="00A663B7"/>
    <w:rsid w:val="00A67E64"/>
    <w:rsid w:val="00A84337"/>
    <w:rsid w:val="00A86EE5"/>
    <w:rsid w:val="00AA04EE"/>
    <w:rsid w:val="00AA69DA"/>
    <w:rsid w:val="00AC39F1"/>
    <w:rsid w:val="00AC6606"/>
    <w:rsid w:val="00AD3254"/>
    <w:rsid w:val="00AD436D"/>
    <w:rsid w:val="00B022ED"/>
    <w:rsid w:val="00B07A64"/>
    <w:rsid w:val="00B12561"/>
    <w:rsid w:val="00B1400B"/>
    <w:rsid w:val="00B236CB"/>
    <w:rsid w:val="00B27161"/>
    <w:rsid w:val="00B3344B"/>
    <w:rsid w:val="00B357E2"/>
    <w:rsid w:val="00B649BE"/>
    <w:rsid w:val="00B670DD"/>
    <w:rsid w:val="00B75F6B"/>
    <w:rsid w:val="00B77C0A"/>
    <w:rsid w:val="00B946EC"/>
    <w:rsid w:val="00BB0A9A"/>
    <w:rsid w:val="00BB0B2E"/>
    <w:rsid w:val="00BC014B"/>
    <w:rsid w:val="00BC2DFC"/>
    <w:rsid w:val="00BC47E4"/>
    <w:rsid w:val="00BD180F"/>
    <w:rsid w:val="00BE07FA"/>
    <w:rsid w:val="00BF22B4"/>
    <w:rsid w:val="00C01094"/>
    <w:rsid w:val="00C10900"/>
    <w:rsid w:val="00C16A18"/>
    <w:rsid w:val="00C216C0"/>
    <w:rsid w:val="00C30E88"/>
    <w:rsid w:val="00C36FE5"/>
    <w:rsid w:val="00C40A63"/>
    <w:rsid w:val="00C445EE"/>
    <w:rsid w:val="00C61051"/>
    <w:rsid w:val="00C62084"/>
    <w:rsid w:val="00C6217C"/>
    <w:rsid w:val="00CA32FC"/>
    <w:rsid w:val="00CB3FF1"/>
    <w:rsid w:val="00CB6F54"/>
    <w:rsid w:val="00CC023B"/>
    <w:rsid w:val="00CD4B53"/>
    <w:rsid w:val="00CE128F"/>
    <w:rsid w:val="00CF2880"/>
    <w:rsid w:val="00CF2C4D"/>
    <w:rsid w:val="00D00B64"/>
    <w:rsid w:val="00D169AE"/>
    <w:rsid w:val="00D5007D"/>
    <w:rsid w:val="00D61710"/>
    <w:rsid w:val="00D901A4"/>
    <w:rsid w:val="00D91273"/>
    <w:rsid w:val="00D97173"/>
    <w:rsid w:val="00DA46FF"/>
    <w:rsid w:val="00DB21F5"/>
    <w:rsid w:val="00DB40B0"/>
    <w:rsid w:val="00DC68F5"/>
    <w:rsid w:val="00DD4061"/>
    <w:rsid w:val="00DD65F2"/>
    <w:rsid w:val="00DD7035"/>
    <w:rsid w:val="00DE3378"/>
    <w:rsid w:val="00DF66EC"/>
    <w:rsid w:val="00E04757"/>
    <w:rsid w:val="00E11412"/>
    <w:rsid w:val="00E318A8"/>
    <w:rsid w:val="00E378CE"/>
    <w:rsid w:val="00E537BC"/>
    <w:rsid w:val="00E5725C"/>
    <w:rsid w:val="00E7193A"/>
    <w:rsid w:val="00E76A88"/>
    <w:rsid w:val="00E77BD8"/>
    <w:rsid w:val="00E81774"/>
    <w:rsid w:val="00E82788"/>
    <w:rsid w:val="00E84407"/>
    <w:rsid w:val="00E94FCD"/>
    <w:rsid w:val="00E95DEF"/>
    <w:rsid w:val="00EA25CE"/>
    <w:rsid w:val="00EB74A8"/>
    <w:rsid w:val="00EE11B1"/>
    <w:rsid w:val="00EE18C8"/>
    <w:rsid w:val="00EE6424"/>
    <w:rsid w:val="00EE6E0C"/>
    <w:rsid w:val="00EF06E7"/>
    <w:rsid w:val="00F05546"/>
    <w:rsid w:val="00F0678F"/>
    <w:rsid w:val="00F06CA2"/>
    <w:rsid w:val="00F13169"/>
    <w:rsid w:val="00F3680D"/>
    <w:rsid w:val="00F52C86"/>
    <w:rsid w:val="00F54941"/>
    <w:rsid w:val="00F56C60"/>
    <w:rsid w:val="00F66AD2"/>
    <w:rsid w:val="00F8245E"/>
    <w:rsid w:val="00F92E83"/>
    <w:rsid w:val="00F97610"/>
    <w:rsid w:val="00FA14EF"/>
    <w:rsid w:val="00FA28D1"/>
    <w:rsid w:val="00FA32CD"/>
    <w:rsid w:val="00FB2058"/>
    <w:rsid w:val="00FB606D"/>
    <w:rsid w:val="00FC106F"/>
    <w:rsid w:val="00FC2E7E"/>
    <w:rsid w:val="00FC7FA1"/>
    <w:rsid w:val="00FD134B"/>
    <w:rsid w:val="00FD315E"/>
    <w:rsid w:val="00FD59BB"/>
    <w:rsid w:val="00FF45C5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A603"/>
  <w15:docId w15:val="{63E6E6E3-708B-4F27-963A-608A8EC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E7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649BE"/>
    <w:pPr>
      <w:keepNext/>
      <w:autoSpaceDE w:val="0"/>
      <w:autoSpaceDN w:val="0"/>
      <w:spacing w:before="120"/>
      <w:jc w:val="center"/>
      <w:outlineLvl w:val="0"/>
    </w:pPr>
    <w:rPr>
      <w:rFonts w:eastAsia="Times New Roman" w:cs="Times New Roman"/>
      <w:b/>
      <w:i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49BE"/>
    <w:pPr>
      <w:keepNext/>
      <w:autoSpaceDE w:val="0"/>
      <w:autoSpaceDN w:val="0"/>
      <w:jc w:val="center"/>
      <w:outlineLvl w:val="1"/>
    </w:pPr>
    <w:rPr>
      <w:rFonts w:eastAsia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77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nhideWhenUsed/>
    <w:rsid w:val="0037715C"/>
    <w:rPr>
      <w:sz w:val="16"/>
      <w:szCs w:val="16"/>
    </w:rPr>
  </w:style>
  <w:style w:type="paragraph" w:styleId="a4">
    <w:name w:val="annotation text"/>
    <w:basedOn w:val="a"/>
    <w:link w:val="a5"/>
    <w:unhideWhenUsed/>
    <w:rsid w:val="0037715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37715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7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49B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49B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B649BE"/>
    <w:pPr>
      <w:autoSpaceDE w:val="0"/>
      <w:autoSpaceDN w:val="0"/>
      <w:ind w:firstLine="54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B64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663B7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663B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B75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752F"/>
  </w:style>
  <w:style w:type="paragraph" w:styleId="ac">
    <w:name w:val="footer"/>
    <w:basedOn w:val="a"/>
    <w:link w:val="ad"/>
    <w:uiPriority w:val="99"/>
    <w:unhideWhenUsed/>
    <w:rsid w:val="006B75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752F"/>
  </w:style>
  <w:style w:type="character" w:styleId="ae">
    <w:name w:val="Hyperlink"/>
    <w:basedOn w:val="a0"/>
    <w:uiPriority w:val="99"/>
    <w:unhideWhenUsed/>
    <w:rsid w:val="0002228A"/>
    <w:rPr>
      <w:color w:val="0070BA" w:themeColor="hyperlink"/>
      <w:u w:val="single"/>
    </w:rPr>
  </w:style>
  <w:style w:type="paragraph" w:styleId="af">
    <w:name w:val="Revision"/>
    <w:hidden/>
    <w:uiPriority w:val="99"/>
    <w:semiHidden/>
    <w:rsid w:val="00CE128F"/>
    <w:pPr>
      <w:spacing w:after="0" w:line="240" w:lineRule="auto"/>
    </w:pPr>
  </w:style>
  <w:style w:type="paragraph" w:customStyle="1" w:styleId="Default">
    <w:name w:val="Default"/>
    <w:rsid w:val="00CE1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E11412"/>
    <w:rPr>
      <w:b/>
      <w:bCs/>
    </w:rPr>
  </w:style>
  <w:style w:type="paragraph" w:customStyle="1" w:styleId="StyleJustifiedFirstline095cm1">
    <w:name w:val="Style Justified First line:  0.95 cm1"/>
    <w:basedOn w:val="a"/>
    <w:rsid w:val="004C0417"/>
    <w:pPr>
      <w:spacing w:after="200" w:line="276" w:lineRule="auto"/>
      <w:ind w:firstLine="539"/>
      <w:jc w:val="both"/>
    </w:pPr>
    <w:rPr>
      <w:rFonts w:asciiTheme="minorHAnsi" w:eastAsiaTheme="minorHAnsi" w:hAnsiTheme="minorHAnsi"/>
    </w:rPr>
  </w:style>
  <w:style w:type="paragraph" w:styleId="21">
    <w:name w:val="Body Text 2"/>
    <w:aliases w:val="Основной текст 1"/>
    <w:basedOn w:val="a"/>
    <w:link w:val="22"/>
    <w:rsid w:val="00056A77"/>
    <w:pPr>
      <w:autoSpaceDE w:val="0"/>
      <w:autoSpaceDN w:val="0"/>
      <w:spacing w:before="480"/>
      <w:jc w:val="center"/>
    </w:pPr>
    <w:rPr>
      <w:rFonts w:eastAsia="Times New Roman" w:cs="Times New Roman"/>
      <w:b/>
      <w:sz w:val="30"/>
      <w:szCs w:val="20"/>
      <w:lang w:val="x-none" w:eastAsia="x-none"/>
    </w:rPr>
  </w:style>
  <w:style w:type="character" w:customStyle="1" w:styleId="22">
    <w:name w:val="Основной текст 2 Знак"/>
    <w:aliases w:val="Основной текст 1 Знак"/>
    <w:basedOn w:val="a0"/>
    <w:link w:val="21"/>
    <w:rsid w:val="00056A7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SUBST">
    <w:name w:val="__SUBST"/>
    <w:uiPriority w:val="99"/>
    <w:rsid w:val="002832F0"/>
    <w:rPr>
      <w:rFonts w:ascii="Times New Roman" w:hAnsi="Times New Roman"/>
      <w:b/>
      <w:i/>
      <w:sz w:val="22"/>
    </w:rPr>
  </w:style>
  <w:style w:type="paragraph" w:customStyle="1" w:styleId="Basic">
    <w:name w:val="Basic"/>
    <w:basedOn w:val="a"/>
    <w:link w:val="BasicChar"/>
    <w:rsid w:val="000115B5"/>
    <w:pPr>
      <w:ind w:firstLine="540"/>
      <w:jc w:val="both"/>
    </w:pPr>
    <w:rPr>
      <w:rFonts w:eastAsia="Times New Roman" w:cs="Times New Roman"/>
      <w:szCs w:val="20"/>
    </w:rPr>
  </w:style>
  <w:style w:type="character" w:customStyle="1" w:styleId="BasicChar">
    <w:name w:val="Basic Char"/>
    <w:link w:val="Basic"/>
    <w:locked/>
    <w:rsid w:val="000115B5"/>
    <w:rPr>
      <w:rFonts w:ascii="Times New Roman" w:eastAsia="Times New Roman" w:hAnsi="Times New Roman" w:cs="Times New Roman"/>
      <w:szCs w:val="20"/>
    </w:rPr>
  </w:style>
  <w:style w:type="paragraph" w:customStyle="1" w:styleId="Basetext">
    <w:name w:val="Base_text"/>
    <w:basedOn w:val="a"/>
    <w:rsid w:val="000D5F48"/>
    <w:pPr>
      <w:ind w:firstLine="539"/>
      <w:jc w:val="both"/>
    </w:pPr>
    <w:rPr>
      <w:rFonts w:eastAsia="Times New Roman" w:cs="Times New Roman"/>
      <w:b/>
      <w:bCs/>
      <w:i/>
      <w:iCs/>
      <w:color w:val="33333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C661-0389-4E7F-9A34-68FC1F58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3731</Words>
  <Characters>21268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Sberbank-CIB</Company>
  <LinksUpToDate>false</LinksUpToDate>
  <CharactersWithSpaces>24950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Слуцкая</dc:creator>
  <cp:lastModifiedBy>Родичева Дарья Алексеевна (drodicheva)</cp:lastModifiedBy>
  <cp:revision>2</cp:revision>
  <cp:lastPrinted>2019-10-21T11:45:00Z</cp:lastPrinted>
  <dcterms:created xsi:type="dcterms:W3CDTF">2019-10-22T11:44:00Z</dcterms:created>
  <dcterms:modified xsi:type="dcterms:W3CDTF">2019-10-22T11:44:00Z</dcterms:modified>
</cp:coreProperties>
</file>