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35DDAE32" w14:textId="11CBE50C" w:rsidR="00F75C2B" w:rsidRPr="00660586" w:rsidRDefault="00F75C2B"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F75C2B" w:rsidRPr="00660586" w:rsidRDefault="00F75C2B"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4C643F58" w:rsidR="00F75C2B" w:rsidRPr="00203289" w:rsidRDefault="00203289"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03</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321BC19B" w:rsidR="00F75C2B" w:rsidRPr="002B0035" w:rsidRDefault="00203289"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декабря</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DDF2169" w:rsidR="00F75C2B" w:rsidRPr="00162349" w:rsidRDefault="00203289"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92DF0"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6FA716C2" w:rsidR="00D92DF0" w:rsidRPr="00C2024B" w:rsidRDefault="00203289"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78210D3B" w:rsidR="00D92DF0" w:rsidRPr="00F506FD" w:rsidRDefault="0020328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27057AE9" w:rsidR="00D92DF0" w:rsidRPr="00F506FD" w:rsidRDefault="0020328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1848F478" w:rsidR="00D92DF0" w:rsidRPr="00F506FD" w:rsidRDefault="0020328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41D75F6F" w:rsidR="00D92DF0" w:rsidRPr="00F506FD" w:rsidRDefault="0020328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12" w:type="dxa"/>
            <w:tcBorders>
              <w:top w:val="single" w:sz="4" w:space="0" w:color="auto"/>
              <w:bottom w:val="single" w:sz="4" w:space="0" w:color="auto"/>
            </w:tcBorders>
            <w:vAlign w:val="center"/>
          </w:tcPr>
          <w:p w14:paraId="6874AF6F" w14:textId="7E74F5DE" w:rsidR="00D92DF0" w:rsidRPr="00F506FD" w:rsidRDefault="00203289" w:rsidP="00203289">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68094FF7" w:rsidR="00D92DF0" w:rsidRPr="00F506FD" w:rsidRDefault="0020328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484D9C68" w:rsidR="00D92DF0" w:rsidRPr="00F506FD" w:rsidRDefault="0020328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64762E47" w:rsidR="00D92DF0" w:rsidRPr="00F506FD" w:rsidRDefault="0020328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24DA343C" w:rsidR="00D92DF0" w:rsidRPr="00F506FD" w:rsidRDefault="0020328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62129E7D" w:rsidR="00D92DF0" w:rsidRPr="00F506FD" w:rsidRDefault="0020328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7F570031" w:rsidR="00D92DF0" w:rsidRPr="00F506FD" w:rsidRDefault="0020328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47AF4F63" w:rsidR="00D92DF0" w:rsidRPr="00F506FD" w:rsidRDefault="0020328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2B855EE9" w:rsidR="00D92DF0" w:rsidRPr="00F506FD" w:rsidRDefault="0020328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3696D13C" w:rsidR="00D92DF0" w:rsidRPr="00F506FD" w:rsidRDefault="0020328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52E5B44D" w:rsidR="00D92DF0" w:rsidRPr="00F506FD" w:rsidRDefault="0020328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D92DF0" w:rsidRPr="00660586" w:rsidRDefault="00D92DF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D92DF0" w:rsidRPr="00660586" w:rsidRDefault="00D92DF0"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477B85CE"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164F14" w:rsidRPr="00164F14">
        <w:rPr>
          <w:rFonts w:ascii="Times New Roman" w:hAnsi="Times New Roman"/>
          <w:b/>
          <w:bCs/>
          <w:i/>
          <w:iCs/>
          <w:sz w:val="20"/>
          <w:szCs w:val="20"/>
        </w:rPr>
        <w:t>4</w:t>
      </w:r>
      <w:r w:rsidR="004C5F91" w:rsidRPr="004C5F91">
        <w:rPr>
          <w:rFonts w:ascii="Times New Roman" w:hAnsi="Times New Roman"/>
          <w:b/>
          <w:bCs/>
          <w:i/>
          <w:iCs/>
          <w:sz w:val="20"/>
          <w:szCs w:val="20"/>
        </w:rPr>
        <w:t>9</w:t>
      </w:r>
      <w:r w:rsidR="00664402" w:rsidRPr="00664402">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744721" w:rsidRPr="00744721">
        <w:rPr>
          <w:rFonts w:ascii="Times New Roman" w:hAnsi="Times New Roman"/>
          <w:b/>
          <w:bCs/>
          <w:i/>
          <w:iCs/>
          <w:sz w:val="20"/>
          <w:szCs w:val="20"/>
        </w:rPr>
        <w:t>10</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744721">
        <w:rPr>
          <w:rFonts w:ascii="Times New Roman" w:hAnsi="Times New Roman"/>
          <w:b/>
          <w:bCs/>
          <w:i/>
          <w:iCs/>
          <w:sz w:val="20"/>
          <w:szCs w:val="20"/>
        </w:rPr>
        <w:t>Дес</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744721">
        <w:rPr>
          <w:rFonts w:ascii="Times New Roman" w:hAnsi="Times New Roman"/>
          <w:b/>
          <w:bCs/>
          <w:i/>
          <w:iCs/>
          <w:sz w:val="20"/>
          <w:szCs w:val="20"/>
        </w:rPr>
        <w:t>10</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744721">
        <w:rPr>
          <w:rFonts w:ascii="Times New Roman" w:hAnsi="Times New Roman"/>
          <w:b/>
          <w:bCs/>
          <w:i/>
          <w:iCs/>
          <w:sz w:val="20"/>
          <w:szCs w:val="20"/>
        </w:rPr>
        <w:t>Дес</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DD1E30" w:rsidRPr="00DD1E30">
        <w:rPr>
          <w:rFonts w:ascii="Times New Roman" w:hAnsi="Times New Roman"/>
          <w:b/>
          <w:bCs/>
          <w:i/>
          <w:iCs/>
          <w:sz w:val="20"/>
          <w:szCs w:val="20"/>
        </w:rPr>
        <w:t>364</w:t>
      </w:r>
      <w:r w:rsidRPr="00B7161C">
        <w:rPr>
          <w:rFonts w:ascii="Times New Roman" w:hAnsi="Times New Roman"/>
          <w:b/>
          <w:bCs/>
          <w:i/>
          <w:iCs/>
          <w:sz w:val="20"/>
          <w:szCs w:val="20"/>
        </w:rPr>
        <w:t>-й (</w:t>
      </w:r>
      <w:r w:rsidR="00DD1E30">
        <w:rPr>
          <w:rFonts w:ascii="Times New Roman" w:hAnsi="Times New Roman"/>
          <w:b/>
          <w:bCs/>
          <w:i/>
          <w:iCs/>
          <w:sz w:val="20"/>
          <w:szCs w:val="20"/>
        </w:rPr>
        <w:t>Триста шестьдесят четвертый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6373FFA9"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3D70B5">
        <w:rPr>
          <w:rFonts w:ascii="Times New Roman" w:hAnsi="Times New Roman"/>
          <w:color w:val="000000"/>
          <w:sz w:val="20"/>
          <w:szCs w:val="20"/>
        </w:rPr>
        <w:t>«</w:t>
      </w:r>
      <w:r w:rsidR="001140D5" w:rsidRPr="001140D5">
        <w:rPr>
          <w:rFonts w:ascii="Times New Roman" w:hAnsi="Times New Roman"/>
          <w:color w:val="000000"/>
          <w:sz w:val="20"/>
          <w:szCs w:val="20"/>
        </w:rPr>
        <w:t>28</w:t>
      </w:r>
      <w:r w:rsidR="003D70B5">
        <w:rPr>
          <w:rFonts w:ascii="Times New Roman" w:hAnsi="Times New Roman"/>
          <w:color w:val="000000"/>
          <w:sz w:val="20"/>
          <w:szCs w:val="20"/>
        </w:rPr>
        <w:t>» </w:t>
      </w:r>
      <w:r w:rsidR="001140D5">
        <w:rPr>
          <w:rFonts w:ascii="Times New Roman" w:hAnsi="Times New Roman"/>
          <w:color w:val="000000"/>
          <w:sz w:val="20"/>
          <w:szCs w:val="20"/>
        </w:rPr>
        <w:t>ноября</w:t>
      </w:r>
      <w:r w:rsidR="003D70B5">
        <w:rPr>
          <w:rFonts w:ascii="Times New Roman" w:hAnsi="Times New Roman"/>
          <w:color w:val="000000"/>
          <w:sz w:val="20"/>
          <w:szCs w:val="20"/>
        </w:rPr>
        <w:t xml:space="preserve"> 2019г. Приказ № </w:t>
      </w:r>
      <w:r w:rsidR="001140D5">
        <w:rPr>
          <w:rFonts w:ascii="Times New Roman" w:hAnsi="Times New Roman"/>
          <w:color w:val="000000"/>
          <w:sz w:val="20"/>
          <w:szCs w:val="20"/>
        </w:rPr>
        <w:t>2409</w:t>
      </w:r>
      <w:r w:rsidR="003D70B5">
        <w:rPr>
          <w:rFonts w:ascii="Times New Roman" w:hAnsi="Times New Roman"/>
          <w:color w:val="000000"/>
          <w:sz w:val="20"/>
          <w:szCs w:val="20"/>
        </w:rPr>
        <w:t xml:space="preserve"> от «</w:t>
      </w:r>
      <w:r w:rsidR="001140D5">
        <w:rPr>
          <w:rFonts w:ascii="Times New Roman" w:hAnsi="Times New Roman"/>
          <w:color w:val="000000"/>
          <w:sz w:val="20"/>
          <w:szCs w:val="20"/>
        </w:rPr>
        <w:t>28</w:t>
      </w:r>
      <w:r w:rsidR="00730685">
        <w:rPr>
          <w:rFonts w:ascii="Times New Roman" w:hAnsi="Times New Roman"/>
          <w:color w:val="000000"/>
          <w:sz w:val="20"/>
          <w:szCs w:val="20"/>
        </w:rPr>
        <w:t>» </w:t>
      </w:r>
      <w:r w:rsidR="001140D5">
        <w:rPr>
          <w:rFonts w:ascii="Times New Roman" w:hAnsi="Times New Roman"/>
          <w:color w:val="000000"/>
          <w:sz w:val="20"/>
          <w:szCs w:val="20"/>
        </w:rPr>
        <w:t>ноября</w:t>
      </w:r>
      <w:r w:rsidR="003D70B5">
        <w:rPr>
          <w:rFonts w:ascii="Times New Roman" w:hAnsi="Times New Roman"/>
          <w:color w:val="000000"/>
          <w:sz w:val="20"/>
          <w:szCs w:val="20"/>
        </w:rPr>
        <w:t xml:space="preserve">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8E3F892" w14:textId="77777777" w:rsidR="00704123" w:rsidRDefault="00704123" w:rsidP="00704123">
            <w:pPr>
              <w:spacing w:after="0" w:line="240" w:lineRule="auto"/>
              <w:ind w:left="142"/>
              <w:rPr>
                <w:rFonts w:ascii="Times New Roman" w:hAnsi="Times New Roman"/>
                <w:b/>
                <w:color w:val="000000"/>
              </w:rPr>
            </w:pPr>
            <w:r w:rsidRPr="00660586">
              <w:rPr>
                <w:rFonts w:ascii="Times New Roman" w:hAnsi="Times New Roman"/>
                <w:b/>
                <w:color w:val="000000"/>
              </w:rPr>
              <w:t>Управл</w:t>
            </w:r>
            <w:r>
              <w:rPr>
                <w:rFonts w:ascii="Times New Roman" w:hAnsi="Times New Roman"/>
                <w:b/>
                <w:color w:val="000000"/>
              </w:rPr>
              <w:t>яющий директор</w:t>
            </w:r>
            <w:r w:rsidRPr="00660586">
              <w:rPr>
                <w:rFonts w:ascii="Times New Roman" w:hAnsi="Times New Roman"/>
                <w:b/>
                <w:color w:val="000000"/>
              </w:rPr>
              <w:t xml:space="preserve"> </w:t>
            </w:r>
            <w:r>
              <w:rPr>
                <w:rFonts w:ascii="Times New Roman" w:hAnsi="Times New Roman"/>
                <w:b/>
                <w:color w:val="000000"/>
              </w:rPr>
              <w:t>Казначейства</w:t>
            </w:r>
          </w:p>
          <w:p w14:paraId="6CC3D80C" w14:textId="77777777" w:rsidR="00704123" w:rsidRDefault="00704123" w:rsidP="00704123">
            <w:pPr>
              <w:spacing w:after="0" w:line="240" w:lineRule="auto"/>
              <w:ind w:left="142"/>
              <w:rPr>
                <w:rFonts w:ascii="Times New Roman" w:hAnsi="Times New Roman"/>
                <w:b/>
                <w:color w:val="000000"/>
              </w:rPr>
            </w:pPr>
            <w:r w:rsidRPr="00660586">
              <w:rPr>
                <w:rFonts w:ascii="Times New Roman" w:hAnsi="Times New Roman"/>
                <w:b/>
                <w:color w:val="000000"/>
              </w:rPr>
              <w:t>Финансового департамента - вице-президент, действующий на основании доверенности</w:t>
            </w:r>
          </w:p>
          <w:p w14:paraId="017AE035" w14:textId="30442A7D" w:rsidR="0008729C" w:rsidRPr="00660586" w:rsidRDefault="00704123" w:rsidP="00704123">
            <w:pPr>
              <w:spacing w:after="0" w:line="240" w:lineRule="auto"/>
              <w:ind w:left="142"/>
              <w:rPr>
                <w:rFonts w:ascii="Times New Roman" w:hAnsi="Times New Roman"/>
                <w:color w:val="000000"/>
                <w:sz w:val="20"/>
                <w:szCs w:val="20"/>
              </w:rPr>
            </w:pPr>
            <w:r w:rsidRPr="00660586">
              <w:rPr>
                <w:rFonts w:ascii="Times New Roman" w:hAnsi="Times New Roman"/>
                <w:b/>
                <w:color w:val="000000"/>
              </w:rPr>
              <w:t>№350000/3</w:t>
            </w:r>
            <w:r>
              <w:rPr>
                <w:rFonts w:ascii="Times New Roman" w:hAnsi="Times New Roman"/>
                <w:b/>
                <w:color w:val="000000"/>
              </w:rPr>
              <w:t>594</w:t>
            </w:r>
            <w:r w:rsidRPr="00660586">
              <w:rPr>
                <w:rFonts w:ascii="Times New Roman" w:hAnsi="Times New Roman"/>
                <w:b/>
                <w:color w:val="000000"/>
              </w:rPr>
              <w:t>-Д</w:t>
            </w:r>
            <w:r>
              <w:rPr>
                <w:rFonts w:ascii="Times New Roman" w:hAnsi="Times New Roman"/>
                <w:b/>
                <w:color w:val="000000"/>
              </w:rPr>
              <w:t>Н</w:t>
            </w:r>
            <w:r w:rsidRPr="00660586">
              <w:rPr>
                <w:rFonts w:ascii="Times New Roman" w:hAnsi="Times New Roman"/>
                <w:b/>
                <w:color w:val="000000"/>
              </w:rPr>
              <w:t xml:space="preserve"> от </w:t>
            </w:r>
            <w:r>
              <w:rPr>
                <w:rFonts w:ascii="Times New Roman" w:hAnsi="Times New Roman"/>
                <w:b/>
                <w:color w:val="000000"/>
              </w:rPr>
              <w:t>10.07.2019</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0EAA787F" w:rsidR="0068458E" w:rsidRPr="00660586" w:rsidRDefault="0068458E" w:rsidP="001140D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9B3BA2">
              <w:rPr>
                <w:rFonts w:ascii="Times New Roman" w:eastAsia="Times New Roman" w:hAnsi="Times New Roman"/>
                <w:color w:val="000000"/>
                <w:sz w:val="20"/>
                <w:szCs w:val="20"/>
                <w:lang w:eastAsia="en-US"/>
              </w:rPr>
              <w:t xml:space="preserve"> </w:t>
            </w:r>
            <w:r w:rsidR="001140D5">
              <w:rPr>
                <w:rFonts w:ascii="Times New Roman" w:eastAsia="Times New Roman" w:hAnsi="Times New Roman"/>
                <w:color w:val="000000"/>
                <w:sz w:val="20"/>
                <w:szCs w:val="20"/>
                <w:lang w:eastAsia="en-US"/>
              </w:rPr>
              <w:t xml:space="preserve">28 </w:t>
            </w:r>
            <w:r>
              <w:rPr>
                <w:rFonts w:ascii="Times New Roman" w:eastAsia="Times New Roman" w:hAnsi="Times New Roman"/>
                <w:color w:val="000000"/>
                <w:sz w:val="20"/>
                <w:szCs w:val="20"/>
                <w:lang w:eastAsia="en-US"/>
              </w:rPr>
              <w:t>»</w:t>
            </w:r>
          </w:p>
        </w:tc>
        <w:tc>
          <w:tcPr>
            <w:tcW w:w="1500" w:type="dxa"/>
            <w:vAlign w:val="bottom"/>
          </w:tcPr>
          <w:p w14:paraId="31F79DC6" w14:textId="3CDD672B" w:rsidR="0068458E" w:rsidRPr="00660586" w:rsidRDefault="001140D5" w:rsidP="00164F14">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ноября</w:t>
            </w:r>
            <w:r w:rsidR="00730685">
              <w:rPr>
                <w:rFonts w:ascii="Times New Roman" w:eastAsia="Times New Roman" w:hAnsi="Times New Roman"/>
                <w:color w:val="000000"/>
                <w:sz w:val="20"/>
                <w:szCs w:val="20"/>
                <w:lang w:val="en-US" w:eastAsia="en-US"/>
              </w:rPr>
              <w:t xml:space="preserve"> </w:t>
            </w:r>
            <w:r w:rsidR="00B345BA">
              <w:rPr>
                <w:rFonts w:ascii="Times New Roman" w:eastAsia="Times New Roman" w:hAnsi="Times New Roman"/>
                <w:color w:val="000000"/>
                <w:sz w:val="20"/>
                <w:szCs w:val="20"/>
                <w:lang w:val="en-US" w:eastAsia="en-US"/>
              </w:rPr>
              <w:t xml:space="preserve"> </w:t>
            </w:r>
            <w:r w:rsidR="005242FB">
              <w:rPr>
                <w:rFonts w:ascii="Times New Roman" w:eastAsia="Times New Roman" w:hAnsi="Times New Roman"/>
                <w:color w:val="000000"/>
                <w:sz w:val="20"/>
                <w:szCs w:val="20"/>
                <w:lang w:val="en-US" w:eastAsia="en-US"/>
              </w:rPr>
              <w:t xml:space="preserve"> </w:t>
            </w:r>
            <w:r w:rsidR="00164F14">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68458E" w:rsidRPr="00660586" w:rsidRDefault="0068458E"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05035253"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164F14" w:rsidRPr="00164F14">
        <w:rPr>
          <w:b/>
          <w:i/>
          <w:sz w:val="22"/>
          <w:szCs w:val="22"/>
        </w:rPr>
        <w:t>4</w:t>
      </w:r>
      <w:r w:rsidR="004C5F91" w:rsidRPr="004C5F91">
        <w:rPr>
          <w:b/>
          <w:i/>
          <w:sz w:val="22"/>
          <w:szCs w:val="22"/>
        </w:rPr>
        <w:t>9</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295F4D1A"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744721">
        <w:rPr>
          <w:b/>
          <w:bCs/>
          <w:i/>
          <w:iCs/>
          <w:sz w:val="22"/>
          <w:szCs w:val="22"/>
        </w:rPr>
        <w:t>10</w:t>
      </w:r>
      <w:r w:rsidR="0008729C" w:rsidRPr="00B7161C">
        <w:rPr>
          <w:b/>
          <w:bCs/>
          <w:i/>
          <w:iCs/>
          <w:sz w:val="22"/>
          <w:szCs w:val="22"/>
        </w:rPr>
        <w:t xml:space="preserve"> 00</w:t>
      </w:r>
      <w:r w:rsidRPr="00B7161C">
        <w:rPr>
          <w:b/>
          <w:bCs/>
          <w:i/>
          <w:iCs/>
          <w:sz w:val="22"/>
          <w:szCs w:val="22"/>
        </w:rPr>
        <w:t>0 000 (</w:t>
      </w:r>
      <w:r w:rsidR="00744721">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44946438"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626D5">
        <w:rPr>
          <w:b/>
          <w:bCs/>
          <w:i/>
          <w:iCs/>
          <w:sz w:val="22"/>
          <w:szCs w:val="22"/>
        </w:rPr>
        <w:t xml:space="preserve"> </w:t>
      </w:r>
      <w:r w:rsidR="00D626D5" w:rsidRPr="00D626D5">
        <w:rPr>
          <w:b/>
          <w:bCs/>
          <w:i/>
          <w:iCs/>
          <w:sz w:val="22"/>
          <w:szCs w:val="22"/>
        </w:rPr>
        <w:t>(процента от непогашенной части номинальной стоимости)</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70C8B0D8" w14:textId="77777777" w:rsidR="000B6987" w:rsidRDefault="000B6987" w:rsidP="000B6987">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784CDA09" w14:textId="77777777" w:rsidR="000B6987" w:rsidRDefault="000B6987" w:rsidP="000B6987">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3FD2A2A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2DB96F74" w:rsidR="00180B91" w:rsidRPr="00660586"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w:t>
      </w:r>
      <w:r w:rsidR="00180B91" w:rsidRPr="00660586">
        <w:rPr>
          <w:rFonts w:ascii="Times New Roman" w:hAnsi="Times New Roman"/>
          <w:b/>
          <w:bCs/>
          <w:i/>
          <w:iCs/>
        </w:rPr>
        <w:t xml:space="preserve">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w:t>
      </w:r>
      <w:r w:rsidRPr="00660586">
        <w:rPr>
          <w:rFonts w:ascii="Times New Roman" w:hAnsi="Times New Roman"/>
          <w:b/>
          <w:bCs/>
          <w:i/>
          <w:iCs/>
        </w:rPr>
        <w:lastRenderedPageBreak/>
        <w:t xml:space="preserve">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w:t>
      </w:r>
      <w:r w:rsidRPr="00660586">
        <w:rPr>
          <w:rFonts w:ascii="Times New Roman" w:hAnsi="Times New Roman"/>
          <w:b/>
          <w:bCs/>
          <w:i/>
          <w:iCs/>
        </w:rPr>
        <w:lastRenderedPageBreak/>
        <w:t>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6932032C"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lastRenderedPageBreak/>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w:t>
      </w:r>
      <w:r w:rsidR="00B2474D" w:rsidRPr="00660586">
        <w:rPr>
          <w:rFonts w:ascii="Times New Roman" w:hAnsi="Times New Roman"/>
          <w:b/>
          <w:bCs/>
          <w:i/>
          <w:iCs/>
        </w:rPr>
        <w:lastRenderedPageBreak/>
        <w:t xml:space="preserve">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1786F92C" w14:textId="345BFD2D" w:rsidR="00CD6831" w:rsidRPr="00660586" w:rsidRDefault="00CD6831" w:rsidP="00660586">
      <w:pPr>
        <w:pStyle w:val="Default"/>
        <w:jc w:val="both"/>
        <w:rPr>
          <w:b/>
          <w:bCs/>
          <w:i/>
          <w:iCs/>
          <w:sz w:val="22"/>
          <w:szCs w:val="22"/>
        </w:rPr>
      </w:pPr>
      <w:r w:rsidRPr="00F1323A">
        <w:rPr>
          <w:b/>
          <w:bCs/>
          <w:i/>
          <w:iCs/>
          <w:sz w:val="22"/>
          <w:szCs w:val="22"/>
        </w:rPr>
        <w:t>Начиная со второго дня размещения Биржевых облигаций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уплачивает накопленный купонный доход по Биржевым облигациям, определяемый по формуле,</w:t>
      </w:r>
      <w:r>
        <w:rPr>
          <w:b/>
          <w:bCs/>
          <w:i/>
          <w:iCs/>
          <w:sz w:val="22"/>
          <w:szCs w:val="22"/>
        </w:rPr>
        <w:t xml:space="preserve"> </w:t>
      </w:r>
      <w:r w:rsidRPr="00F1323A">
        <w:rPr>
          <w:b/>
          <w:bCs/>
          <w:i/>
          <w:iCs/>
          <w:sz w:val="22"/>
          <w:szCs w:val="22"/>
        </w:rPr>
        <w:t>установленной в п. 1</w:t>
      </w:r>
      <w:r>
        <w:rPr>
          <w:b/>
          <w:bCs/>
          <w:i/>
          <w:iCs/>
          <w:sz w:val="22"/>
          <w:szCs w:val="22"/>
        </w:rPr>
        <w:t>7</w:t>
      </w:r>
      <w:r w:rsidRPr="00F1323A">
        <w:rPr>
          <w:b/>
          <w:bCs/>
          <w:i/>
          <w:iCs/>
          <w:sz w:val="22"/>
          <w:szCs w:val="22"/>
        </w:rPr>
        <w:t xml:space="preserve"> Программы.</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3EB0A419"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w:t>
      </w:r>
      <w:r w:rsidR="00C84381">
        <w:rPr>
          <w:b/>
          <w:bCs/>
          <w:i/>
          <w:iCs/>
          <w:sz w:val="22"/>
          <w:szCs w:val="22"/>
        </w:rPr>
        <w:t xml:space="preserve">непогашенной части </w:t>
      </w:r>
      <w:r w:rsidRPr="00660586">
        <w:rPr>
          <w:b/>
          <w:bCs/>
          <w:i/>
          <w:iCs/>
          <w:sz w:val="22"/>
          <w:szCs w:val="22"/>
        </w:rPr>
        <w:t xml:space="preserve">номинальной стоимости в </w:t>
      </w:r>
      <w:r w:rsidR="00DD1E30">
        <w:rPr>
          <w:b/>
          <w:bCs/>
          <w:i/>
          <w:iCs/>
          <w:sz w:val="22"/>
          <w:szCs w:val="22"/>
        </w:rPr>
        <w:t>364</w:t>
      </w:r>
      <w:r w:rsidR="003959E1" w:rsidRPr="00660586">
        <w:rPr>
          <w:b/>
          <w:bCs/>
          <w:i/>
          <w:iCs/>
          <w:sz w:val="22"/>
          <w:szCs w:val="22"/>
        </w:rPr>
        <w:t>-й (</w:t>
      </w:r>
      <w:r w:rsidR="00DD1E30">
        <w:rPr>
          <w:b/>
          <w:bCs/>
          <w:i/>
          <w:iCs/>
          <w:sz w:val="22"/>
          <w:szCs w:val="22"/>
        </w:rPr>
        <w:t>Триста шестьдесят четвертый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500DB561" w14:textId="77777777" w:rsidR="00CD6831" w:rsidRPr="00F1323A" w:rsidRDefault="00CD6831" w:rsidP="00CD6831">
      <w:pPr>
        <w:pStyle w:val="Default"/>
        <w:spacing w:before="120"/>
        <w:jc w:val="both"/>
        <w:rPr>
          <w:sz w:val="22"/>
          <w:szCs w:val="22"/>
        </w:rPr>
      </w:pPr>
      <w:r w:rsidRPr="00F1323A">
        <w:rPr>
          <w:sz w:val="22"/>
          <w:szCs w:val="22"/>
        </w:rPr>
        <w:t>9.2.1. Порядок определения выплат по каждой структурной облигации при ее погашении</w:t>
      </w:r>
      <w:r>
        <w:rPr>
          <w:sz w:val="22"/>
          <w:szCs w:val="22"/>
        </w:rPr>
        <w:t>.</w:t>
      </w:r>
      <w:r w:rsidRPr="00F1323A">
        <w:rPr>
          <w:sz w:val="22"/>
          <w:szCs w:val="22"/>
        </w:rPr>
        <w:t xml:space="preserve"> </w:t>
      </w:r>
    </w:p>
    <w:p w14:paraId="38F422A8" w14:textId="77777777" w:rsidR="00CD6831" w:rsidRPr="00F1323A" w:rsidRDefault="00CD6831" w:rsidP="00CD6831">
      <w:pPr>
        <w:pStyle w:val="Default"/>
        <w:spacing w:before="120"/>
        <w:jc w:val="both"/>
        <w:rPr>
          <w:b/>
          <w:bCs/>
          <w:i/>
          <w:iCs/>
          <w:color w:val="auto"/>
          <w:sz w:val="22"/>
          <w:szCs w:val="22"/>
        </w:rPr>
      </w:pPr>
      <w:r w:rsidRPr="00F1323A">
        <w:rPr>
          <w:b/>
          <w:bCs/>
          <w:i/>
          <w:iCs/>
          <w:color w:val="auto"/>
          <w:sz w:val="22"/>
          <w:szCs w:val="22"/>
        </w:rPr>
        <w:t xml:space="preserve">Биржевые облигации не являются структурными облигациями. </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529BE8A2" w:rsidR="009B1DA2" w:rsidRPr="00660586" w:rsidRDefault="009B1DA2" w:rsidP="00660586">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C84381">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CC4D52" w14:textId="1A527AE3"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1439DC" w:rsidRPr="001439DC">
        <w:rPr>
          <w:b/>
          <w:i/>
          <w:sz w:val="22"/>
          <w:szCs w:val="22"/>
        </w:rPr>
        <w:t>2</w:t>
      </w:r>
      <w:r w:rsidR="00180B91" w:rsidRPr="00660586">
        <w:rPr>
          <w:b/>
          <w:i/>
          <w:sz w:val="22"/>
          <w:szCs w:val="22"/>
        </w:rPr>
        <w:t xml:space="preserve"> (</w:t>
      </w:r>
      <w:r w:rsidR="001439DC">
        <w:rPr>
          <w:b/>
          <w:i/>
          <w:sz w:val="22"/>
          <w:szCs w:val="22"/>
        </w:rPr>
        <w:t>Два</w:t>
      </w:r>
      <w:r w:rsidR="00180B91" w:rsidRPr="00660586">
        <w:rPr>
          <w:b/>
          <w:i/>
          <w:sz w:val="22"/>
          <w:szCs w:val="22"/>
        </w:rPr>
        <w:t>).</w:t>
      </w:r>
    </w:p>
    <w:p w14:paraId="5BBF3042" w14:textId="75EF54D6"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1439DC">
        <w:rPr>
          <w:b/>
          <w:i/>
          <w:sz w:val="22"/>
          <w:szCs w:val="22"/>
        </w:rPr>
        <w:t>182</w:t>
      </w:r>
      <w:r w:rsidRPr="00660586">
        <w:rPr>
          <w:b/>
          <w:i/>
          <w:sz w:val="22"/>
          <w:szCs w:val="22"/>
        </w:rPr>
        <w:t xml:space="preserve"> (</w:t>
      </w:r>
      <w:r w:rsidR="001439DC">
        <w:rPr>
          <w:b/>
          <w:i/>
          <w:sz w:val="22"/>
          <w:szCs w:val="22"/>
        </w:rPr>
        <w:t>Сто восемьдесят два</w:t>
      </w:r>
      <w:r w:rsidRPr="00660586">
        <w:rPr>
          <w:b/>
          <w:i/>
          <w:sz w:val="22"/>
          <w:szCs w:val="22"/>
        </w:rPr>
        <w:t>) д</w:t>
      </w:r>
      <w:r w:rsidR="00407FEE" w:rsidRPr="00660586">
        <w:rPr>
          <w:b/>
          <w:i/>
          <w:sz w:val="22"/>
          <w:szCs w:val="22"/>
        </w:rPr>
        <w:t>н</w:t>
      </w:r>
      <w:r w:rsidR="001439DC">
        <w:rPr>
          <w:b/>
          <w:i/>
          <w:sz w:val="22"/>
          <w:szCs w:val="22"/>
        </w:rPr>
        <w:t>я</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476C7E68"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w:t>
      </w:r>
      <w:r w:rsidR="008D7C27" w:rsidRPr="008A1128">
        <w:rPr>
          <w:b/>
          <w:bCs/>
          <w:i/>
          <w:iCs/>
          <w:sz w:val="22"/>
          <w:szCs w:val="22"/>
        </w:rPr>
        <w:t>,</w:t>
      </w:r>
      <w:r w:rsidR="00626333">
        <w:rPr>
          <w:b/>
          <w:bCs/>
          <w:i/>
          <w:iCs/>
          <w:sz w:val="22"/>
          <w:szCs w:val="22"/>
        </w:rPr>
        <w:t xml:space="preserve"> </w:t>
      </w:r>
      <w:r w:rsidRPr="00660586">
        <w:rPr>
          <w:b/>
          <w:bCs/>
          <w:i/>
          <w:iCs/>
          <w:sz w:val="22"/>
          <w:szCs w:val="22"/>
        </w:rPr>
        <w:t xml:space="preserve">2); </w:t>
      </w:r>
    </w:p>
    <w:p w14:paraId="0E7F79A3" w14:textId="63FF51BE"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00C84381">
        <w:rPr>
          <w:b/>
          <w:bCs/>
          <w:i/>
          <w:iCs/>
          <w:sz w:val="22"/>
          <w:szCs w:val="22"/>
        </w:rPr>
        <w:t xml:space="preserve">непогашенная часть </w:t>
      </w:r>
      <w:r w:rsidR="00C84381" w:rsidRPr="00660586">
        <w:rPr>
          <w:b/>
          <w:bCs/>
          <w:i/>
          <w:iCs/>
          <w:sz w:val="22"/>
          <w:szCs w:val="22"/>
        </w:rPr>
        <w:t>номинальн</w:t>
      </w:r>
      <w:r w:rsidR="00C84381">
        <w:rPr>
          <w:b/>
          <w:bCs/>
          <w:i/>
          <w:iCs/>
          <w:sz w:val="22"/>
          <w:szCs w:val="22"/>
        </w:rPr>
        <w:t>ой</w:t>
      </w:r>
      <w:r w:rsidR="00C84381" w:rsidRPr="00660586">
        <w:rPr>
          <w:b/>
          <w:bCs/>
          <w:i/>
          <w:iCs/>
          <w:sz w:val="22"/>
          <w:szCs w:val="22"/>
        </w:rPr>
        <w:t xml:space="preserve"> </w:t>
      </w:r>
      <w:r w:rsidRPr="00660586">
        <w:rPr>
          <w:b/>
          <w:bCs/>
          <w:i/>
          <w:iCs/>
          <w:sz w:val="22"/>
          <w:szCs w:val="22"/>
        </w:rPr>
        <w:t>стоимост</w:t>
      </w:r>
      <w:r w:rsidR="00C84381">
        <w:rPr>
          <w:b/>
          <w:bCs/>
          <w:i/>
          <w:iCs/>
          <w:sz w:val="22"/>
          <w:szCs w:val="22"/>
        </w:rPr>
        <w:t>и</w:t>
      </w:r>
      <w:r w:rsidRPr="00660586">
        <w:rPr>
          <w:b/>
          <w:bCs/>
          <w:i/>
          <w:iCs/>
          <w:sz w:val="22"/>
          <w:szCs w:val="22"/>
        </w:rPr>
        <w:t xml:space="preserve">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BC10E53" w:rsidR="00AF73BB" w:rsidRPr="00660586" w:rsidRDefault="000C47C4" w:rsidP="00660586">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sidR="00C84381">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22871A15" w14:textId="77777777" w:rsidR="005E0D08" w:rsidRPr="00D14192" w:rsidRDefault="005E0D08" w:rsidP="00D14192">
      <w:pPr>
        <w:widowControl w:val="0"/>
        <w:autoSpaceDE w:val="0"/>
        <w:autoSpaceDN w:val="0"/>
        <w:adjustRightInd w:val="0"/>
        <w:spacing w:before="120" w:after="0" w:line="240" w:lineRule="auto"/>
        <w:jc w:val="both"/>
        <w:rPr>
          <w:rFonts w:ascii="Times New Roman" w:eastAsia="Times New Roman" w:hAnsi="Times New Roman"/>
        </w:rPr>
      </w:pPr>
      <w:r w:rsidRPr="00D14192">
        <w:rPr>
          <w:rFonts w:ascii="Times New Roman" w:eastAsia="Times New Roman" w:hAnsi="Times New Roman"/>
        </w:rPr>
        <w:t xml:space="preserve">Порядок определения процентной ставки 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0BF111A7" w14:textId="77777777" w:rsidR="005E0D08" w:rsidRPr="00D14192" w:rsidRDefault="005E0D08" w:rsidP="00D14192">
      <w:pPr>
        <w:widowControl w:val="0"/>
        <w:autoSpaceDE w:val="0"/>
        <w:autoSpaceDN w:val="0"/>
        <w:adjustRightInd w:val="0"/>
        <w:spacing w:before="120" w:after="0" w:line="240" w:lineRule="auto"/>
        <w:jc w:val="both"/>
        <w:rPr>
          <w:rFonts w:ascii="Times New Roman" w:eastAsia="Times New Roman" w:hAnsi="Times New Roman"/>
        </w:rPr>
      </w:pPr>
      <w:r w:rsidRPr="00D14192">
        <w:rPr>
          <w:rFonts w:ascii="Times New Roman" w:eastAsia="Times New Roman" w:hAnsi="Times New Roman"/>
        </w:rPr>
        <w:t xml:space="preserve">Порядок определения процентной ставки по купонам, начиная со второго: </w:t>
      </w:r>
    </w:p>
    <w:p w14:paraId="7165FE4B" w14:textId="0DFBEB39" w:rsidR="00BD66C2" w:rsidRPr="00660586" w:rsidRDefault="00BD66C2" w:rsidP="00660586">
      <w:pPr>
        <w:pStyle w:val="Default"/>
        <w:jc w:val="both"/>
        <w:rPr>
          <w:b/>
          <w:bCs/>
          <w:i/>
          <w:iCs/>
          <w:sz w:val="22"/>
          <w:szCs w:val="22"/>
        </w:rPr>
      </w:pPr>
      <w:r w:rsidRPr="00660586">
        <w:rPr>
          <w:b/>
          <w:bCs/>
          <w:i/>
          <w:iCs/>
          <w:sz w:val="22"/>
          <w:szCs w:val="22"/>
        </w:rPr>
        <w:t>Процентн</w:t>
      </w:r>
      <w:r w:rsidR="001439DC">
        <w:rPr>
          <w:b/>
          <w:bCs/>
          <w:i/>
          <w:iCs/>
          <w:sz w:val="22"/>
          <w:szCs w:val="22"/>
        </w:rPr>
        <w:t>ая</w:t>
      </w:r>
      <w:r w:rsidRPr="00660586">
        <w:rPr>
          <w:b/>
          <w:bCs/>
          <w:i/>
          <w:iCs/>
          <w:sz w:val="22"/>
          <w:szCs w:val="22"/>
        </w:rPr>
        <w:t xml:space="preserve"> ставк</w:t>
      </w:r>
      <w:r w:rsidR="001439DC">
        <w:rPr>
          <w:b/>
          <w:bCs/>
          <w:i/>
          <w:iCs/>
          <w:sz w:val="22"/>
          <w:szCs w:val="22"/>
        </w:rPr>
        <w:t>а</w:t>
      </w:r>
      <w:r w:rsidRPr="00660586">
        <w:rPr>
          <w:b/>
          <w:bCs/>
          <w:i/>
          <w:iCs/>
          <w:sz w:val="22"/>
          <w:szCs w:val="22"/>
        </w:rPr>
        <w:t xml:space="preserve"> по </w:t>
      </w:r>
      <w:r w:rsidR="001439DC">
        <w:rPr>
          <w:b/>
          <w:bCs/>
          <w:i/>
          <w:iCs/>
          <w:sz w:val="22"/>
          <w:szCs w:val="22"/>
        </w:rPr>
        <w:t xml:space="preserve">второму </w:t>
      </w:r>
      <w:r w:rsidRPr="00660586">
        <w:rPr>
          <w:b/>
          <w:bCs/>
          <w:i/>
          <w:iCs/>
          <w:sz w:val="22"/>
          <w:szCs w:val="22"/>
        </w:rPr>
        <w:t>купон</w:t>
      </w:r>
      <w:r w:rsidR="001439DC">
        <w:rPr>
          <w:b/>
          <w:bCs/>
          <w:i/>
          <w:iCs/>
          <w:sz w:val="22"/>
          <w:szCs w:val="22"/>
        </w:rPr>
        <w:t>у</w:t>
      </w:r>
      <w:r w:rsidRPr="00660586">
        <w:rPr>
          <w:b/>
          <w:bCs/>
          <w:i/>
          <w:iCs/>
          <w:sz w:val="22"/>
          <w:szCs w:val="22"/>
        </w:rPr>
        <w:t xml:space="preserve"> равн</w:t>
      </w:r>
      <w:r w:rsidR="001439DC">
        <w:rPr>
          <w:b/>
          <w:bCs/>
          <w:i/>
          <w:iCs/>
          <w:sz w:val="22"/>
          <w:szCs w:val="22"/>
        </w:rPr>
        <w:t>а</w:t>
      </w:r>
      <w:r w:rsidRPr="00660586">
        <w:rPr>
          <w:b/>
          <w:bCs/>
          <w:i/>
          <w:iCs/>
          <w:sz w:val="22"/>
          <w:szCs w:val="22"/>
        </w:rPr>
        <w:t xml:space="preserve">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4828CEDB"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6955470A" w14:textId="553C67CC" w:rsidR="00180B91" w:rsidRPr="00660586" w:rsidRDefault="002F692C" w:rsidP="00660586">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00180B91" w:rsidRPr="00660586">
        <w:rPr>
          <w:rFonts w:ascii="Times New Roman" w:hAnsi="Times New Roman"/>
          <w:bCs/>
          <w:lang w:eastAsia="en-US"/>
        </w:rPr>
        <w:t>. Купон:</w:t>
      </w:r>
    </w:p>
    <w:p w14:paraId="07934BF6" w14:textId="3354F2E6"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8D5E37A" w14:textId="3423DAA3"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D1E30">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48B9D317" w14:textId="1BE3F42C" w:rsidR="00CD6831"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Условиями выпуска не предусмотрена выплата дополнительного дохода по Биржевым облигациям.</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3DE63EF3" w:rsidR="00180B91" w:rsidRPr="004C5F91"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164F14" w:rsidRPr="00164F14">
        <w:rPr>
          <w:rFonts w:ascii="Times New Roman" w:hAnsi="Times New Roman"/>
          <w:b/>
          <w:bCs/>
          <w:color w:val="000000"/>
          <w:sz w:val="26"/>
          <w:szCs w:val="26"/>
        </w:rPr>
        <w:t>4</w:t>
      </w:r>
      <w:r w:rsidR="004C5F91" w:rsidRPr="004C5F91">
        <w:rPr>
          <w:rFonts w:ascii="Times New Roman" w:hAnsi="Times New Roman"/>
          <w:b/>
          <w:bCs/>
          <w:color w:val="000000"/>
          <w:sz w:val="26"/>
          <w:szCs w:val="26"/>
        </w:rPr>
        <w:t>9</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21C149F1"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DD1E30">
        <w:rPr>
          <w:rFonts w:ascii="Times New Roman" w:hAnsi="Times New Roman"/>
          <w:color w:val="000000"/>
        </w:rPr>
        <w:t>364</w:t>
      </w:r>
      <w:r w:rsidRPr="00660586">
        <w:rPr>
          <w:rFonts w:ascii="Times New Roman" w:hAnsi="Times New Roman"/>
          <w:color w:val="000000"/>
        </w:rPr>
        <w:t>-й (</w:t>
      </w:r>
      <w:r w:rsidR="00DD1E30">
        <w:rPr>
          <w:rFonts w:ascii="Times New Roman" w:hAnsi="Times New Roman"/>
          <w:color w:val="000000"/>
        </w:rPr>
        <w:t>Триста шестьдесят четвертый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505A2EED"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744721">
        <w:rPr>
          <w:rFonts w:ascii="Times New Roman" w:hAnsi="Times New Roman"/>
          <w:color w:val="000000"/>
        </w:rPr>
        <w:t>10</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744721">
        <w:rPr>
          <w:rFonts w:ascii="Times New Roman" w:hAnsi="Times New Roman"/>
          <w:color w:val="000000"/>
        </w:rPr>
        <w:t>Дес</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744721">
        <w:rPr>
          <w:rFonts w:ascii="Times New Roman" w:hAnsi="Times New Roman"/>
          <w:color w:val="000000"/>
        </w:rPr>
        <w:t>10</w:t>
      </w:r>
      <w:r w:rsidR="004B3B70" w:rsidRPr="00B7161C">
        <w:rPr>
          <w:rFonts w:ascii="Times New Roman" w:hAnsi="Times New Roman"/>
          <w:color w:val="000000"/>
        </w:rPr>
        <w:t xml:space="preserve"> 00</w:t>
      </w:r>
      <w:r w:rsidRPr="00B7161C">
        <w:rPr>
          <w:rFonts w:ascii="Times New Roman" w:hAnsi="Times New Roman"/>
          <w:color w:val="000000"/>
        </w:rPr>
        <w:t>0 000 000 (</w:t>
      </w:r>
      <w:r w:rsidR="00744721">
        <w:rPr>
          <w:rFonts w:ascii="Times New Roman" w:hAnsi="Times New Roman"/>
          <w:color w:val="000000"/>
        </w:rPr>
        <w:t>Дес</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2B192C2C"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625F53" w:rsidRPr="000B6987">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C8D938D" w14:textId="77777777" w:rsidR="00704123" w:rsidRDefault="00704123" w:rsidP="00704123">
      <w:pPr>
        <w:spacing w:after="0" w:line="240" w:lineRule="auto"/>
        <w:ind w:left="567"/>
        <w:rPr>
          <w:rFonts w:ascii="Times New Roman" w:hAnsi="Times New Roman"/>
          <w:b/>
          <w:color w:val="000000"/>
        </w:rPr>
      </w:pPr>
      <w:r w:rsidRPr="00660586">
        <w:rPr>
          <w:rFonts w:ascii="Times New Roman" w:hAnsi="Times New Roman"/>
          <w:b/>
          <w:color w:val="000000"/>
        </w:rPr>
        <w:t>Управл</w:t>
      </w:r>
      <w:r>
        <w:rPr>
          <w:rFonts w:ascii="Times New Roman" w:hAnsi="Times New Roman"/>
          <w:b/>
          <w:color w:val="000000"/>
        </w:rPr>
        <w:t>яющий директор</w:t>
      </w:r>
      <w:r w:rsidRPr="00660586">
        <w:rPr>
          <w:rFonts w:ascii="Times New Roman" w:hAnsi="Times New Roman"/>
          <w:b/>
          <w:color w:val="000000"/>
        </w:rPr>
        <w:t xml:space="preserve"> </w:t>
      </w:r>
      <w:r>
        <w:rPr>
          <w:rFonts w:ascii="Times New Roman" w:hAnsi="Times New Roman"/>
          <w:b/>
          <w:color w:val="000000"/>
        </w:rPr>
        <w:t>Казначейства</w:t>
      </w:r>
    </w:p>
    <w:p w14:paraId="2D2FD1AD" w14:textId="77777777" w:rsidR="00704123" w:rsidRPr="00D14192" w:rsidRDefault="00704123" w:rsidP="00704123">
      <w:pPr>
        <w:spacing w:after="0" w:line="240" w:lineRule="auto"/>
        <w:ind w:left="567"/>
        <w:rPr>
          <w:rFonts w:ascii="Times New Roman" w:hAnsi="Times New Roman"/>
          <w:b/>
          <w:color w:val="000000"/>
        </w:rPr>
      </w:pPr>
      <w:r w:rsidRPr="00660586">
        <w:rPr>
          <w:rFonts w:ascii="Times New Roman" w:hAnsi="Times New Roman"/>
          <w:b/>
          <w:color w:val="000000"/>
        </w:rPr>
        <w:t>Финансового департамента - вице-президент,</w:t>
      </w:r>
    </w:p>
    <w:p w14:paraId="6E626668" w14:textId="1E8B992A" w:rsidR="00704123" w:rsidRDefault="00704123" w:rsidP="00704123">
      <w:pPr>
        <w:spacing w:after="0" w:line="240" w:lineRule="auto"/>
        <w:ind w:left="567"/>
        <w:rPr>
          <w:rFonts w:ascii="Times New Roman" w:hAnsi="Times New Roman"/>
          <w:b/>
          <w:color w:val="000000"/>
        </w:rPr>
      </w:pPr>
      <w:r w:rsidRPr="00660586">
        <w:rPr>
          <w:rFonts w:ascii="Times New Roman" w:hAnsi="Times New Roman"/>
          <w:b/>
          <w:color w:val="000000"/>
        </w:rPr>
        <w:t>действующий на основании доверенности</w:t>
      </w:r>
    </w:p>
    <w:p w14:paraId="62163397" w14:textId="4A0CDDAC" w:rsidR="00180B91" w:rsidRPr="00660586" w:rsidRDefault="00704123" w:rsidP="00704123">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№350000/3</w:t>
      </w:r>
      <w:r>
        <w:rPr>
          <w:rFonts w:ascii="Times New Roman" w:hAnsi="Times New Roman"/>
          <w:b/>
          <w:color w:val="000000"/>
        </w:rPr>
        <w:t>594</w:t>
      </w:r>
      <w:r w:rsidRPr="00660586">
        <w:rPr>
          <w:rFonts w:ascii="Times New Roman" w:hAnsi="Times New Roman"/>
          <w:b/>
          <w:color w:val="000000"/>
        </w:rPr>
        <w:t>-Д</w:t>
      </w:r>
      <w:r>
        <w:rPr>
          <w:rFonts w:ascii="Times New Roman" w:hAnsi="Times New Roman"/>
          <w:b/>
          <w:color w:val="000000"/>
        </w:rPr>
        <w:t>Н</w:t>
      </w:r>
      <w:r w:rsidRPr="00660586">
        <w:rPr>
          <w:rFonts w:ascii="Times New Roman" w:hAnsi="Times New Roman"/>
          <w:b/>
          <w:color w:val="000000"/>
        </w:rPr>
        <w:t xml:space="preserve"> от </w:t>
      </w:r>
      <w:r>
        <w:rPr>
          <w:rFonts w:ascii="Times New Roman" w:hAnsi="Times New Roman"/>
          <w:b/>
          <w:color w:val="000000"/>
        </w:rPr>
        <w:t>10.07.2019</w:t>
      </w:r>
      <w:r w:rsidR="00D14192" w:rsidRPr="000379E0">
        <w:rPr>
          <w:rFonts w:ascii="Times New Roman" w:hAnsi="Times New Roman"/>
          <w:b/>
          <w:color w:val="000000"/>
        </w:rPr>
        <w:t xml:space="preserve"> </w:t>
      </w:r>
      <w:r w:rsidR="00180B91" w:rsidRPr="00660586">
        <w:rPr>
          <w:rFonts w:ascii="Times New Roman" w:hAnsi="Times New Roman"/>
          <w:b/>
        </w:rPr>
        <w:t xml:space="preserve"> </w:t>
      </w:r>
      <w:r w:rsidRPr="00704123">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004B3B70"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CBF6BCF"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625F53" w:rsidRPr="00625F53">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D626D5">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lang w:eastAsia="ru-RU"/>
        </w:rPr>
        <w:t>означает программу биржевых облигаций</w:t>
      </w:r>
      <w:r w:rsidR="00DF4133" w:rsidRPr="00660586">
        <w:rPr>
          <w:bCs/>
          <w:i/>
          <w:iCs/>
          <w:lang w:eastAsia="ru-RU"/>
        </w:rPr>
        <w:t xml:space="preserve"> (первую часть решения о выпуске ценных бумаг)</w:t>
      </w:r>
      <w:r w:rsidRPr="00660586">
        <w:rPr>
          <w:bCs/>
          <w:i/>
          <w:iCs/>
          <w:lang w:eastAsia="ru-RU"/>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D626D5">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B7579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204E9898"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164F14" w:rsidRPr="00664402">
        <w:rPr>
          <w:b/>
          <w:i/>
          <w:sz w:val="22"/>
          <w:szCs w:val="22"/>
        </w:rPr>
        <w:t>4</w:t>
      </w:r>
      <w:r w:rsidR="004C5F91" w:rsidRPr="001140D5">
        <w:rPr>
          <w:b/>
          <w:i/>
          <w:sz w:val="22"/>
          <w:szCs w:val="22"/>
        </w:rPr>
        <w:t>9</w:t>
      </w:r>
      <w:r w:rsidRPr="00660586">
        <w:rPr>
          <w:b/>
          <w:sz w:val="22"/>
          <w:szCs w:val="22"/>
        </w:rPr>
        <w:t>.</w:t>
      </w:r>
    </w:p>
    <w:p w14:paraId="7D4E4166" w14:textId="77777777" w:rsidR="00D626D5" w:rsidRDefault="00D626D5" w:rsidP="00660586">
      <w:pPr>
        <w:pStyle w:val="11"/>
        <w:tabs>
          <w:tab w:val="left" w:pos="284"/>
        </w:tabs>
        <w:ind w:left="284"/>
        <w:jc w:val="both"/>
        <w:rPr>
          <w:bCs/>
          <w:iCs/>
        </w:rPr>
      </w:pPr>
    </w:p>
    <w:p w14:paraId="043359B4" w14:textId="64326B61"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7436409D"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w:t>
      </w:r>
      <w:r w:rsidR="00D626D5">
        <w:rPr>
          <w:b/>
          <w:bCs/>
          <w:i/>
          <w:iCs/>
          <w:color w:val="000000"/>
        </w:rPr>
        <w:t>по</w:t>
      </w:r>
      <w:r w:rsidR="00C84381">
        <w:rPr>
          <w:b/>
          <w:bCs/>
          <w:i/>
          <w:iCs/>
          <w:color w:val="000000"/>
        </w:rPr>
        <w:t xml:space="preserve"> непогашенной части </w:t>
      </w:r>
      <w:r w:rsidRPr="00660586">
        <w:rPr>
          <w:b/>
          <w:bCs/>
          <w:i/>
          <w:iCs/>
          <w:color w:val="000000"/>
        </w:rPr>
        <w:t xml:space="preserve">номинальной стоимости в </w:t>
      </w:r>
      <w:r w:rsidR="00DD1E30">
        <w:rPr>
          <w:b/>
          <w:bCs/>
          <w:i/>
          <w:iCs/>
          <w:color w:val="000000"/>
        </w:rPr>
        <w:t>364</w:t>
      </w:r>
      <w:r w:rsidRPr="00660586">
        <w:rPr>
          <w:b/>
          <w:bCs/>
          <w:i/>
          <w:iCs/>
          <w:color w:val="000000"/>
        </w:rPr>
        <w:t>-й (</w:t>
      </w:r>
      <w:r w:rsidR="00DD1E30">
        <w:rPr>
          <w:b/>
          <w:bCs/>
          <w:i/>
          <w:iCs/>
          <w:color w:val="000000"/>
        </w:rPr>
        <w:t>Триста шестьдесят четвертый</w:t>
      </w:r>
      <w:r w:rsidRPr="00660586">
        <w:rPr>
          <w:b/>
          <w:bCs/>
          <w:i/>
          <w:iCs/>
          <w:color w:val="000000"/>
        </w:rPr>
        <w:t>) день с даты начала размещения Биржевых облигаций.</w:t>
      </w:r>
    </w:p>
    <w:p w14:paraId="5B3D462F" w14:textId="77777777" w:rsidR="00D626D5" w:rsidRDefault="00D626D5" w:rsidP="00660586">
      <w:pPr>
        <w:pStyle w:val="Default"/>
        <w:ind w:left="284"/>
        <w:jc w:val="both"/>
        <w:rPr>
          <w:sz w:val="22"/>
          <w:szCs w:val="22"/>
        </w:rPr>
      </w:pPr>
    </w:p>
    <w:p w14:paraId="7115A398" w14:textId="3DC21F73"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0B04E1C" w14:textId="6C1B44E9" w:rsidR="00DF1AEB"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F1AEB">
        <w:rPr>
          <w:rFonts w:ascii="Times New Roman" w:hAnsi="Times New Roman"/>
          <w:b/>
          <w:bCs/>
          <w:i/>
          <w:iCs/>
          <w:color w:val="000000"/>
        </w:rPr>
        <w:t xml:space="preserve"> (</w:t>
      </w:r>
      <w:r w:rsidR="00DF1AEB" w:rsidRPr="008A1128">
        <w:rPr>
          <w:rFonts w:ascii="Times New Roman" w:hAnsi="Times New Roman"/>
          <w:b/>
          <w:bCs/>
          <w:i/>
          <w:iCs/>
          <w:color w:val="000000"/>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08E5A583" w14:textId="6D2F9D45" w:rsidR="00DF1AEB" w:rsidRPr="00687DFF" w:rsidRDefault="00625A8B" w:rsidP="00625A8B">
      <w:pPr>
        <w:pStyle w:val="Default"/>
        <w:ind w:left="284" w:hanging="284"/>
        <w:jc w:val="both"/>
        <w:rPr>
          <w:color w:val="auto"/>
          <w:sz w:val="22"/>
          <w:szCs w:val="22"/>
        </w:rPr>
      </w:pPr>
      <w:r>
        <w:rPr>
          <w:b/>
          <w:bCs/>
          <w:i/>
          <w:iCs/>
          <w:color w:val="auto"/>
          <w:sz w:val="22"/>
          <w:szCs w:val="22"/>
        </w:rPr>
        <w:t xml:space="preserve">     </w:t>
      </w:r>
      <w:r w:rsidR="00DF1AEB" w:rsidRPr="00687DFF">
        <w:rPr>
          <w:b/>
          <w:bCs/>
          <w:i/>
          <w:iCs/>
          <w:color w:val="auto"/>
          <w:sz w:val="22"/>
          <w:szCs w:val="22"/>
        </w:rPr>
        <w:t>В случае принятия Эмитентом в соответствии с п. 9.5 Программы решения о частичном</w:t>
      </w:r>
      <w:r>
        <w:rPr>
          <w:b/>
          <w:bCs/>
          <w:i/>
          <w:iCs/>
          <w:color w:val="auto"/>
          <w:sz w:val="22"/>
          <w:szCs w:val="22"/>
        </w:rPr>
        <w:t xml:space="preserve"> </w:t>
      </w:r>
      <w:r w:rsidR="00DF1AEB" w:rsidRPr="00687DFF">
        <w:rPr>
          <w:b/>
          <w:bCs/>
          <w:i/>
          <w:iCs/>
          <w:color w:val="auto"/>
          <w:sz w:val="22"/>
          <w:szCs w:val="22"/>
        </w:rPr>
        <w:t xml:space="preserve">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74D1F2" w14:textId="0E803325"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купонного дохода</w:t>
      </w:r>
      <w:r w:rsidR="00C34003" w:rsidRPr="00C34003">
        <w:t xml:space="preserve"> </w:t>
      </w:r>
      <w:r w:rsidR="00C34003" w:rsidRPr="00C34003">
        <w:rPr>
          <w:rFonts w:ascii="Times New Roman" w:hAnsi="Times New Roman"/>
          <w:b/>
          <w:bCs/>
          <w:i/>
          <w:iCs/>
          <w:color w:val="000000"/>
        </w:rPr>
        <w:t>(процента от непогашенной части номинальной стоимости)</w:t>
      </w:r>
      <w:r w:rsidR="00197895" w:rsidRPr="00660586">
        <w:rPr>
          <w:rFonts w:ascii="Times New Roman" w:hAnsi="Times New Roman"/>
          <w:b/>
          <w:bCs/>
          <w:i/>
          <w:iCs/>
          <w:color w:val="000000"/>
        </w:rPr>
        <w:t xml:space="preserve">,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Программы</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Программы</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496BF" w14:textId="77777777" w:rsidR="00BC18B4" w:rsidRDefault="00BC18B4" w:rsidP="0053664B">
      <w:pPr>
        <w:spacing w:after="0" w:line="240" w:lineRule="auto"/>
      </w:pPr>
      <w:r>
        <w:separator/>
      </w:r>
    </w:p>
  </w:endnote>
  <w:endnote w:type="continuationSeparator" w:id="0">
    <w:p w14:paraId="00E2F41F" w14:textId="77777777" w:rsidR="00BC18B4" w:rsidRDefault="00BC18B4"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72C99EE5" w:rsidR="00110183" w:rsidRDefault="00110183">
    <w:pPr>
      <w:pStyle w:val="ac"/>
      <w:jc w:val="right"/>
    </w:pPr>
    <w:r>
      <w:fldChar w:fldCharType="begin"/>
    </w:r>
    <w:r>
      <w:instrText>PAGE   \* MERGEFORMAT</w:instrText>
    </w:r>
    <w:r>
      <w:fldChar w:fldCharType="separate"/>
    </w:r>
    <w:r w:rsidR="003A4CE7">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3AA33" w14:textId="77777777" w:rsidR="00BC18B4" w:rsidRDefault="00BC18B4" w:rsidP="0053664B">
      <w:pPr>
        <w:spacing w:after="0" w:line="240" w:lineRule="auto"/>
      </w:pPr>
      <w:r>
        <w:separator/>
      </w:r>
    </w:p>
  </w:footnote>
  <w:footnote w:type="continuationSeparator" w:id="0">
    <w:p w14:paraId="0FD44C17" w14:textId="77777777" w:rsidR="00BC18B4" w:rsidRDefault="00BC18B4"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379E0"/>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06056"/>
    <w:rsid w:val="001100BA"/>
    <w:rsid w:val="00110183"/>
    <w:rsid w:val="001138E3"/>
    <w:rsid w:val="001140D5"/>
    <w:rsid w:val="00114FDC"/>
    <w:rsid w:val="00120C70"/>
    <w:rsid w:val="00122B4D"/>
    <w:rsid w:val="00123E87"/>
    <w:rsid w:val="00127144"/>
    <w:rsid w:val="00133535"/>
    <w:rsid w:val="00133BC9"/>
    <w:rsid w:val="00134E7F"/>
    <w:rsid w:val="00140AB5"/>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3289"/>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A4CE7"/>
    <w:rsid w:val="003B08F2"/>
    <w:rsid w:val="003C3A7D"/>
    <w:rsid w:val="003C4370"/>
    <w:rsid w:val="003C537F"/>
    <w:rsid w:val="003C6CBB"/>
    <w:rsid w:val="003D3AAA"/>
    <w:rsid w:val="003D4829"/>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5F91"/>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2FB"/>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4123"/>
    <w:rsid w:val="00705B10"/>
    <w:rsid w:val="007065F6"/>
    <w:rsid w:val="00707703"/>
    <w:rsid w:val="007103BE"/>
    <w:rsid w:val="007129AF"/>
    <w:rsid w:val="00713E7B"/>
    <w:rsid w:val="00713F56"/>
    <w:rsid w:val="00716B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3C45"/>
    <w:rsid w:val="00BA4D00"/>
    <w:rsid w:val="00BB182C"/>
    <w:rsid w:val="00BB28D6"/>
    <w:rsid w:val="00BB2F02"/>
    <w:rsid w:val="00BB3257"/>
    <w:rsid w:val="00BB33B7"/>
    <w:rsid w:val="00BB441F"/>
    <w:rsid w:val="00BB450A"/>
    <w:rsid w:val="00BC1410"/>
    <w:rsid w:val="00BC18B4"/>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A3B2E294-C483-446D-A22C-F3C8E193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562CE-1E84-4B2A-9318-D51BB509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6520</Words>
  <Characters>37164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Родичева Дарья Алексеевна</dc:creator>
  <cp:lastModifiedBy>Родичева Дарья Алексеевна (drodicheva)</cp:lastModifiedBy>
  <cp:revision>2</cp:revision>
  <cp:lastPrinted>2019-12-03T14:19:00Z</cp:lastPrinted>
  <dcterms:created xsi:type="dcterms:W3CDTF">2020-01-17T13:21:00Z</dcterms:created>
  <dcterms:modified xsi:type="dcterms:W3CDTF">2020-01-17T13:21:00Z</dcterms:modified>
</cp:coreProperties>
</file>