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7069"/>
      </w:tblGrid>
      <w:tr w:rsidR="00833D70" w:rsidRPr="00496E3B" w:rsidTr="00754EFC">
        <w:trPr>
          <w:trHeight w:val="1547"/>
        </w:trPr>
        <w:tc>
          <w:tcPr>
            <w:tcW w:w="3609" w:type="dxa"/>
          </w:tcPr>
          <w:p w:rsidR="00833D70" w:rsidRPr="00496E3B" w:rsidRDefault="00833D70" w:rsidP="00FB2B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15" w:type="dxa"/>
          </w:tcPr>
          <w:tbl>
            <w:tblPr>
              <w:tblStyle w:val="a3"/>
              <w:tblW w:w="56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0"/>
              <w:gridCol w:w="3823"/>
            </w:tblGrid>
            <w:tr w:rsidR="00833D70" w:rsidRPr="00496E3B" w:rsidTr="00FB2B3B">
              <w:tc>
                <w:tcPr>
                  <w:tcW w:w="2237" w:type="dxa"/>
                </w:tcPr>
                <w:p w:rsidR="00833D70" w:rsidRPr="00496E3B" w:rsidRDefault="00833D70" w:rsidP="00FB2B3B">
                  <w:pPr>
                    <w:jc w:val="both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496E3B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Дата допуска биржевых облигаций к торгам</w:t>
                  </w:r>
                </w:p>
              </w:tc>
              <w:tc>
                <w:tcPr>
                  <w:tcW w:w="3462" w:type="dxa"/>
                </w:tcPr>
                <w:p w:rsidR="00833D70" w:rsidRPr="00496E3B" w:rsidRDefault="00833D70" w:rsidP="00FC6A2A">
                  <w:pPr>
                    <w:jc w:val="right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496E3B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</w:rPr>
                    <w:t>"</w:t>
                  </w:r>
                  <w:r w:rsidR="00FC6A2A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  <w:u w:val="single" w:color="323232"/>
                    </w:rPr>
                    <w:t>24</w:t>
                  </w:r>
                  <w:r w:rsidRPr="00496E3B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</w:rPr>
                    <w:t>"</w:t>
                  </w:r>
                  <w:r w:rsidRPr="00496E3B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  <w:u w:val="single" w:color="323232"/>
                    </w:rPr>
                    <w:t xml:space="preserve">  </w:t>
                  </w:r>
                  <w:r w:rsidR="00FC6A2A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  <w:u w:val="single" w:color="323232"/>
                    </w:rPr>
                    <w:t>декабря</w:t>
                  </w:r>
                  <w:r w:rsidRPr="00496E3B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  <w:u w:val="single" w:color="323232"/>
                    </w:rPr>
                    <w:t xml:space="preserve">  </w:t>
                  </w:r>
                  <w:r w:rsidRPr="00496E3B">
                    <w:rPr>
                      <w:rFonts w:ascii="Verdana" w:hAnsi="Verdana" w:cs="Times New Roman"/>
                      <w:color w:val="000000" w:themeColor="text1"/>
                      <w:spacing w:val="-6"/>
                      <w:w w:val="95"/>
                      <w:sz w:val="16"/>
                      <w:szCs w:val="16"/>
                    </w:rPr>
                    <w:t>20</w:t>
                  </w:r>
                  <w:r w:rsidR="00FC6A2A">
                    <w:rPr>
                      <w:rFonts w:ascii="Verdana" w:hAnsi="Verdana" w:cs="Times New Roman"/>
                      <w:color w:val="000000" w:themeColor="text1"/>
                      <w:spacing w:val="-6"/>
                      <w:w w:val="95"/>
                      <w:sz w:val="16"/>
                      <w:szCs w:val="16"/>
                    </w:rPr>
                    <w:t xml:space="preserve">19 </w:t>
                  </w:r>
                  <w:r w:rsidRPr="00496E3B">
                    <w:rPr>
                      <w:rFonts w:ascii="Verdana" w:hAnsi="Verdana" w:cs="Times New Roman"/>
                      <w:color w:val="000000" w:themeColor="text1"/>
                      <w:w w:val="95"/>
                      <w:sz w:val="16"/>
                      <w:szCs w:val="16"/>
                    </w:rPr>
                    <w:t>г.</w:t>
                  </w:r>
                </w:p>
              </w:tc>
            </w:tr>
            <w:tr w:rsidR="00833D70" w:rsidRPr="00496E3B" w:rsidTr="00FB2B3B">
              <w:tc>
                <w:tcPr>
                  <w:tcW w:w="5699" w:type="dxa"/>
                  <w:gridSpan w:val="2"/>
                </w:tcPr>
                <w:p w:rsidR="00833D70" w:rsidRPr="00496E3B" w:rsidRDefault="00833D70" w:rsidP="00FB2B3B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496E3B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Идентификационный номер</w:t>
                  </w:r>
                </w:p>
              </w:tc>
            </w:tr>
            <w:tr w:rsidR="00833D70" w:rsidRPr="00496E3B" w:rsidTr="00FB2B3B">
              <w:tc>
                <w:tcPr>
                  <w:tcW w:w="5699" w:type="dxa"/>
                  <w:gridSpan w:val="2"/>
                </w:tcPr>
                <w:p w:rsidR="00833D70" w:rsidRPr="00496E3B" w:rsidRDefault="00833D70" w:rsidP="00FB2B3B">
                  <w:pPr>
                    <w:jc w:val="center"/>
                    <w:rPr>
                      <w:rFonts w:ascii="Verdana" w:hAnsi="Verdana"/>
                      <w:color w:val="000000" w:themeColor="text1"/>
                      <w:sz w:val="4"/>
                      <w:szCs w:val="4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4"/>
                    <w:gridCol w:w="354"/>
                    <w:gridCol w:w="344"/>
                    <w:gridCol w:w="344"/>
                    <w:gridCol w:w="344"/>
                    <w:gridCol w:w="344"/>
                    <w:gridCol w:w="344"/>
                    <w:gridCol w:w="344"/>
                    <w:gridCol w:w="344"/>
                    <w:gridCol w:w="344"/>
                    <w:gridCol w:w="344"/>
                    <w:gridCol w:w="354"/>
                    <w:gridCol w:w="344"/>
                    <w:gridCol w:w="344"/>
                    <w:gridCol w:w="344"/>
                    <w:gridCol w:w="337"/>
                    <w:gridCol w:w="222"/>
                    <w:gridCol w:w="222"/>
                    <w:gridCol w:w="222"/>
                    <w:gridCol w:w="222"/>
                    <w:gridCol w:w="222"/>
                  </w:tblGrid>
                  <w:tr w:rsidR="00FC6A2A" w:rsidRPr="00496E3B" w:rsidTr="00FB2B3B">
                    <w:trPr>
                      <w:trHeight w:val="397"/>
                    </w:trPr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60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FC6A2A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Р</w:t>
                        </w: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bottom w:val="single" w:sz="4" w:space="0" w:color="auto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C6A2A" w:rsidRPr="00496E3B" w:rsidTr="00FB2B3B">
                    <w:trPr>
                      <w:trHeight w:val="28"/>
                    </w:trPr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33D70" w:rsidRPr="00496E3B" w:rsidRDefault="00833D70" w:rsidP="00FB2B3B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:rsidR="00833D70" w:rsidRPr="00496E3B" w:rsidRDefault="00833D70" w:rsidP="00FB2B3B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833D70" w:rsidRPr="00496E3B" w:rsidRDefault="00833D70" w:rsidP="00FB2B3B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Акционерное общество “Санкт-Петербургская Валютная Биржа” (АО СПВБ)</w:t>
            </w:r>
          </w:p>
          <w:p w:rsidR="00833D70" w:rsidRPr="00496E3B" w:rsidRDefault="00833D70" w:rsidP="00FB2B3B">
            <w:pPr>
              <w:pBdr>
                <w:top w:val="single" w:sz="4" w:space="1" w:color="auto"/>
              </w:pBd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96E3B">
              <w:rPr>
                <w:rFonts w:ascii="Verdana" w:hAnsi="Verdana"/>
                <w:color w:val="000000" w:themeColor="text1"/>
                <w:sz w:val="14"/>
                <w:szCs w:val="14"/>
              </w:rPr>
              <w:t>(наименование биржи, допустившей биржевые облигации к торгам)</w:t>
            </w:r>
          </w:p>
          <w:p w:rsidR="00833D70" w:rsidRPr="00496E3B" w:rsidRDefault="00833D70" w:rsidP="00FB2B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833D70" w:rsidRPr="00496E3B" w:rsidRDefault="00833D70" w:rsidP="00FB2B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833D70" w:rsidRPr="00496E3B" w:rsidRDefault="00833D70" w:rsidP="00FB2B3B">
            <w:pPr>
              <w:pBdr>
                <w:top w:val="single" w:sz="4" w:space="1" w:color="auto"/>
              </w:pBd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96E3B">
              <w:rPr>
                <w:rFonts w:ascii="Verdana" w:hAnsi="Verdana"/>
                <w:color w:val="000000" w:themeColor="text1"/>
                <w:sz w:val="14"/>
                <w:szCs w:val="14"/>
              </w:rPr>
              <w:t>(подпись уполномоченного лица биржи, допустившей биржевые облигации к торгам) (печать)</w:t>
            </w:r>
          </w:p>
        </w:tc>
      </w:tr>
    </w:tbl>
    <w:p w:rsidR="00833D70" w:rsidRPr="00496E3B" w:rsidRDefault="00833D70" w:rsidP="00833D70">
      <w:pPr>
        <w:spacing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УСЛОВИЯ ВЫПУСКА БИРЖЕВЫХ ОБЛИГАЦИЙ </w:t>
      </w: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 РАМКАХ ПРОГРАММЫ БИРЖЕВЫХ ОБЛИГАЦИЙ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РОССИЙСКИЙ НАЦИОНАЛЬНЫЙ КОММЕРЧЕСКИЙ БАНК (публичное акционерное общество</w:t>
      </w:r>
      <w:r w:rsidRPr="00496E3B">
        <w:rPr>
          <w:rFonts w:ascii="Verdana" w:hAnsi="Verdana"/>
          <w:color w:val="000000" w:themeColor="text1"/>
          <w:sz w:val="20"/>
          <w:szCs w:val="20"/>
        </w:rPr>
        <w:t>)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3D70" w:rsidRPr="00496E3B" w:rsidTr="00FB2B3B">
        <w:tc>
          <w:tcPr>
            <w:tcW w:w="9514" w:type="dxa"/>
          </w:tcPr>
          <w:p w:rsidR="00833D70" w:rsidRPr="00496E3B" w:rsidRDefault="00833D70" w:rsidP="00FB2B3B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color w:val="000000" w:themeColor="text1"/>
                <w:sz w:val="16"/>
                <w:szCs w:val="16"/>
              </w:rPr>
              <w:t>(указывается полное наименование эмитента)</w:t>
            </w:r>
          </w:p>
        </w:tc>
      </w:tr>
    </w:tbl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биржевые облигации документарные процентные неконвертируемые на предъявителя с обязательным централизованным хранением серии 01, в количестве 3 000 000 (Три миллиона) штук, номинальной стоимостью 1 000 (Одна тысяча) российских рублей каждая, общей номинальной стоимостью 3 000 000 000 (Три миллиарда) российских рублей, со сроком погашения в 1 092-й день с даты начала размещения биржевых облигаций, размещаемые путем открытой подписки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3D70" w:rsidRPr="00496E3B" w:rsidTr="00FB2B3B">
        <w:tc>
          <w:tcPr>
            <w:tcW w:w="9514" w:type="dxa"/>
          </w:tcPr>
          <w:p w:rsidR="00833D70" w:rsidRPr="00496E3B" w:rsidRDefault="00833D70" w:rsidP="00FB2B3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E3B">
              <w:rPr>
                <w:rFonts w:ascii="Verdana" w:hAnsi="Verdana"/>
                <w:color w:val="000000" w:themeColor="text1"/>
                <w:sz w:val="16"/>
                <w:szCs w:val="16"/>
              </w:rPr>
              <w:t>(форма (документарные), серия и иные идентификационные признаки облигаций, размещаемых в рамках программы облигаций)</w:t>
            </w:r>
          </w:p>
        </w:tc>
      </w:tr>
    </w:tbl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Программа биржевых облигаций серии 001Р, имеющая идентификационный номер </w:t>
      </w:r>
      <w:r w:rsidR="00FC6A2A">
        <w:rPr>
          <w:rFonts w:ascii="Verdana" w:hAnsi="Verdana"/>
          <w:b/>
          <w:color w:val="000000" w:themeColor="text1"/>
          <w:sz w:val="20"/>
          <w:szCs w:val="20"/>
        </w:rPr>
        <w:t>401354В001Р03Е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 от </w:t>
      </w:r>
      <w:r w:rsidR="00FC6A2A">
        <w:rPr>
          <w:rFonts w:ascii="Verdana" w:hAnsi="Verdana"/>
          <w:b/>
          <w:color w:val="000000" w:themeColor="text1"/>
          <w:sz w:val="20"/>
          <w:szCs w:val="20"/>
        </w:rPr>
        <w:t xml:space="preserve">24 декабря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20</w:t>
      </w:r>
      <w:r w:rsidR="00FC6A2A">
        <w:rPr>
          <w:rFonts w:ascii="Verdana" w:hAnsi="Verdana"/>
          <w:b/>
          <w:color w:val="000000" w:themeColor="text1"/>
          <w:sz w:val="20"/>
          <w:szCs w:val="20"/>
        </w:rPr>
        <w:t xml:space="preserve">19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г.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3D70" w:rsidRPr="00496E3B" w:rsidTr="00FB2B3B">
        <w:tc>
          <w:tcPr>
            <w:tcW w:w="9514" w:type="dxa"/>
          </w:tcPr>
          <w:p w:rsidR="00833D70" w:rsidRPr="00496E3B" w:rsidRDefault="00833D70" w:rsidP="00FB2B3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6E3B">
              <w:rPr>
                <w:rFonts w:ascii="Verdana" w:hAnsi="Verdana"/>
                <w:color w:val="000000" w:themeColor="text1"/>
                <w:sz w:val="16"/>
                <w:szCs w:val="16"/>
              </w:rPr>
              <w:t>(серия и иные идентификационные признаки программы облигаций)</w:t>
            </w:r>
          </w:p>
        </w:tc>
      </w:tr>
    </w:tbl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Утверждены решением </w:t>
      </w:r>
      <w:r w:rsidR="001B1DF5">
        <w:rPr>
          <w:rFonts w:ascii="Verdana" w:hAnsi="Verdana"/>
          <w:b/>
          <w:color w:val="000000" w:themeColor="text1"/>
          <w:sz w:val="20"/>
          <w:szCs w:val="20"/>
        </w:rPr>
        <w:t xml:space="preserve">Исполняющего обязанности Председателя Правления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РНКБ Банк (ПАО)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3D70" w:rsidRPr="00496E3B" w:rsidTr="00FB2B3B">
        <w:tc>
          <w:tcPr>
            <w:tcW w:w="9514" w:type="dxa"/>
          </w:tcPr>
          <w:p w:rsidR="00833D70" w:rsidRPr="00496E3B" w:rsidRDefault="00833D70" w:rsidP="00FB2B3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6E3B">
              <w:rPr>
                <w:rFonts w:ascii="Verdana" w:hAnsi="Verdana"/>
                <w:color w:val="000000" w:themeColor="text1"/>
                <w:sz w:val="16"/>
                <w:szCs w:val="16"/>
              </w:rPr>
              <w:t>(указывается орган управления эмитента, утвердивший условия выпуска (дополнительного выпуска) облигаций в рамках программы облигаций)</w:t>
            </w:r>
          </w:p>
        </w:tc>
      </w:tr>
    </w:tbl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принятым «</w:t>
      </w:r>
      <w:r w:rsidR="00FC6A2A" w:rsidRPr="00FC6A2A">
        <w:rPr>
          <w:rFonts w:ascii="Verdana" w:hAnsi="Verdana"/>
          <w:b/>
          <w:color w:val="000000" w:themeColor="text1"/>
          <w:sz w:val="20"/>
          <w:szCs w:val="20"/>
          <w:u w:val="single"/>
        </w:rPr>
        <w:t>18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» </w:t>
      </w:r>
      <w:r w:rsidR="00FC6A2A" w:rsidRPr="00FC6A2A">
        <w:rPr>
          <w:rFonts w:ascii="Verdana" w:hAnsi="Verdana"/>
          <w:b/>
          <w:color w:val="000000" w:themeColor="text1"/>
          <w:sz w:val="20"/>
          <w:szCs w:val="20"/>
          <w:u w:val="single"/>
        </w:rPr>
        <w:t>декабря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 2019 г., Приказ от «</w:t>
      </w:r>
      <w:r w:rsidR="00FC6A2A" w:rsidRPr="00FC6A2A">
        <w:rPr>
          <w:rFonts w:ascii="Verdana" w:hAnsi="Verdana"/>
          <w:b/>
          <w:color w:val="000000" w:themeColor="text1"/>
          <w:sz w:val="20"/>
          <w:szCs w:val="20"/>
          <w:u w:val="single"/>
        </w:rPr>
        <w:t>18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» </w:t>
      </w:r>
      <w:r w:rsidR="00FC6A2A" w:rsidRPr="00FC6A2A">
        <w:rPr>
          <w:rFonts w:ascii="Verdana" w:hAnsi="Verdana"/>
          <w:b/>
          <w:color w:val="000000" w:themeColor="text1"/>
          <w:sz w:val="20"/>
          <w:szCs w:val="20"/>
          <w:u w:val="single"/>
        </w:rPr>
        <w:t>декабря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 2019 г. № </w:t>
      </w:r>
      <w:r w:rsidR="00FC6A2A" w:rsidRPr="00FC6A2A">
        <w:rPr>
          <w:rFonts w:ascii="Verdana" w:hAnsi="Verdana"/>
          <w:b/>
          <w:color w:val="000000" w:themeColor="text1"/>
          <w:sz w:val="20"/>
          <w:szCs w:val="20"/>
          <w:u w:val="single"/>
        </w:rPr>
        <w:t>1176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 xml:space="preserve">на основании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решения Совета директоров РНКБ Банк (ПАО) об утверждении Программы биржевых облигаций серии 001Р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3D70" w:rsidRPr="00496E3B" w:rsidTr="00FB2B3B">
        <w:tc>
          <w:tcPr>
            <w:tcW w:w="9514" w:type="dxa"/>
          </w:tcPr>
          <w:p w:rsidR="00833D70" w:rsidRPr="00496E3B" w:rsidRDefault="00833D70" w:rsidP="00FB2B3B">
            <w:pPr>
              <w:ind w:firstLine="567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E3B">
              <w:rPr>
                <w:rFonts w:ascii="Verdana" w:hAnsi="Verdana"/>
                <w:color w:val="000000" w:themeColor="text1"/>
                <w:sz w:val="16"/>
                <w:szCs w:val="16"/>
              </w:rPr>
              <w:t>(указывается орган управления эмитента, утвердивший программу биржевых облигаций)</w:t>
            </w:r>
          </w:p>
        </w:tc>
      </w:tr>
    </w:tbl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принятого «</w:t>
      </w:r>
      <w:r>
        <w:rPr>
          <w:rFonts w:ascii="Verdana" w:hAnsi="Verdana"/>
          <w:b/>
          <w:color w:val="000000" w:themeColor="text1"/>
          <w:sz w:val="20"/>
          <w:szCs w:val="20"/>
        </w:rPr>
        <w:t>19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» </w:t>
      </w:r>
      <w:r>
        <w:rPr>
          <w:rFonts w:ascii="Verdana" w:hAnsi="Verdana"/>
          <w:b/>
          <w:color w:val="000000" w:themeColor="text1"/>
          <w:sz w:val="20"/>
          <w:szCs w:val="20"/>
        </w:rPr>
        <w:t>сентября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 2019 г. Протокол от «</w:t>
      </w:r>
      <w:r>
        <w:rPr>
          <w:rFonts w:ascii="Verdana" w:hAnsi="Verdana"/>
          <w:b/>
          <w:color w:val="000000" w:themeColor="text1"/>
          <w:sz w:val="20"/>
          <w:szCs w:val="20"/>
        </w:rPr>
        <w:t>19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» </w:t>
      </w:r>
      <w:r>
        <w:rPr>
          <w:rFonts w:ascii="Verdana" w:hAnsi="Verdana"/>
          <w:b/>
          <w:color w:val="000000" w:themeColor="text1"/>
          <w:sz w:val="20"/>
          <w:szCs w:val="20"/>
        </w:rPr>
        <w:t>сентября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 2019 г., № </w:t>
      </w:r>
      <w:r>
        <w:rPr>
          <w:rFonts w:ascii="Verdana" w:hAnsi="Verdana"/>
          <w:b/>
          <w:color w:val="000000" w:themeColor="text1"/>
          <w:sz w:val="20"/>
          <w:szCs w:val="20"/>
        </w:rPr>
        <w:t>2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Место нахождения эмитента и контактные телефоны:</w:t>
      </w: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 xml:space="preserve">Место нахождения: Российская Федерация, город Симферополь. </w:t>
      </w: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Контактные телефоны: +7 (3652) 550500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833D70" w:rsidRPr="00496E3B" w:rsidTr="00FB2B3B">
        <w:tc>
          <w:tcPr>
            <w:tcW w:w="4757" w:type="dxa"/>
          </w:tcPr>
          <w:p w:rsidR="00833D70" w:rsidRPr="00496E3B" w:rsidRDefault="00833D70" w:rsidP="00FB2B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Исполняющий обязанности                                                                                                          Председателя Правления</w:t>
            </w:r>
          </w:p>
          <w:p w:rsidR="00833D70" w:rsidRPr="00496E3B" w:rsidRDefault="00833D70" w:rsidP="00FB2B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РНКБ Банк (ПАО)</w:t>
            </w:r>
          </w:p>
          <w:p w:rsidR="00833D70" w:rsidRPr="00496E3B" w:rsidRDefault="00833D70" w:rsidP="00FC6A2A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«</w:t>
            </w:r>
            <w:r w:rsidR="00FC6A2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18</w:t>
            </w: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»  </w:t>
            </w:r>
            <w:r w:rsidR="00FC6A2A" w:rsidRPr="00FC6A2A"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  <w:t>декабря</w:t>
            </w:r>
            <w:r w:rsidR="00FC6A2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20</w:t>
            </w:r>
            <w:r w:rsidR="00FC6A2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19 </w:t>
            </w: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4757" w:type="dxa"/>
          </w:tcPr>
          <w:p w:rsidR="00833D70" w:rsidRPr="00496E3B" w:rsidRDefault="00833D70" w:rsidP="00FB2B3B">
            <w:pPr>
              <w:ind w:firstLine="567"/>
              <w:jc w:val="right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Щербаков А.</w:t>
            </w: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А.</w:t>
            </w:r>
          </w:p>
        </w:tc>
      </w:tr>
    </w:tbl>
    <w:p w:rsidR="00FC6A2A" w:rsidRDefault="00FC6A2A" w:rsidP="00833D70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br w:type="page"/>
      </w:r>
    </w:p>
    <w:p w:rsidR="00833D70" w:rsidRPr="00496E3B" w:rsidRDefault="00833D70" w:rsidP="00833D7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EFC" w:rsidRDefault="00754EFC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Далее в настоящем документе будут использоваться следующие термины: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Эмитент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РОССИЙСКИЙ НАЦИОНАЛЬНЫЙ КОММЕРЧЕСКИЙ БАНК (публичное акционерное общество).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Программа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или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Программа облигаций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программа биржевых облигаций серии 001Р,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F97AA4">
        <w:rPr>
          <w:rFonts w:ascii="Verdana" w:hAnsi="Verdana"/>
          <w:color w:val="000000" w:themeColor="text1"/>
          <w:sz w:val="20"/>
          <w:szCs w:val="20"/>
        </w:rPr>
        <w:t>401354В001Р03Е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от </w:t>
      </w:r>
      <w:r w:rsidR="00F97AA4">
        <w:rPr>
          <w:rFonts w:ascii="Verdana" w:hAnsi="Verdana"/>
          <w:color w:val="000000" w:themeColor="text1"/>
          <w:sz w:val="20"/>
          <w:szCs w:val="20"/>
        </w:rPr>
        <w:t>24.12.2019</w:t>
      </w:r>
      <w:r w:rsidRPr="00496E3B">
        <w:rPr>
          <w:rFonts w:ascii="Verdana" w:hAnsi="Verdana"/>
          <w:color w:val="000000" w:themeColor="text1"/>
          <w:sz w:val="20"/>
          <w:szCs w:val="20"/>
        </w:rPr>
        <w:t>, в рамках которой размещается настоящий выпуск биржевых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Выпуск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настоящий выпуск биржевых облигаций, размещаемых в рамках Программы.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Условия выпуска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настоящие 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Биржевая облигация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или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Биржевая облигация выпуска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биржевая облигация, размещаемая в рамках Выпуска. Иные термины, используемые в Условиях выпуска, имеют значения, определенные в Программе.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pStyle w:val="a4"/>
        <w:numPr>
          <w:ilvl w:val="0"/>
          <w:numId w:val="16"/>
        </w:numPr>
        <w:tabs>
          <w:tab w:val="left" w:pos="851"/>
        </w:tabs>
        <w:spacing w:after="120" w:line="240" w:lineRule="auto"/>
        <w:ind w:left="924" w:hanging="35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Вид ценных бумаг: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Вид ценных бумаг, размещаемых в рамках программы облигаций: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на предъявителя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Серия облигаций выпуска: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01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Иные идентификационные признаки облигаций выпуска, размещаемых в рамках программы облигаций: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Биржевые облигации процентные неконвертируемые документарные на предъявителя с обязательным централизованным хранением серии 01.</w:t>
      </w:r>
    </w:p>
    <w:p w:rsidR="00833D70" w:rsidRPr="00496E3B" w:rsidRDefault="00833D70" w:rsidP="00833D70">
      <w:pPr>
        <w:tabs>
          <w:tab w:val="left" w:pos="851"/>
        </w:tabs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tabs>
          <w:tab w:val="left" w:pos="851"/>
        </w:tabs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2.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ab/>
        <w:t>Форма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документарные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3. Указание на обязательное централизованное хранение: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Предусмотрено обязательное централизованное хранение Биржевых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Сведения, подлежащие указанию в настоящем пункте, приведены в п. 3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4. Номинальная стоимость каждой облигации выпуска (дополнительного выпуска):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Номинальная стоимость каждой облигации выпуска: 1 000 (Одна тысяча) российских рублей.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5. Количество облигаций выпуска (дополнительного выпуска):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Количество размещаемых облигаций выпуска: 3 000 000 (Три миллиона) штук. Биржевые облигации не предполагается размещать траншами.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6. Общее количество облигаций данного выпуска, размещенных ранее: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7. Права владельца каждой облигации выпуска (дополнительного выпуска):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Сведения, подлежащие указанию в настоящем пункте, приведены в п. 7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 xml:space="preserve">Каждая Биржевая облигация в рамках каждого отдельного выпуска предоставляет ее владельцу одинаковый объем прав. Документами, удостоверяющими права, закрепленные Биржевой облигацией, являются Программа, Сертификат Биржевых облигаций и Условия выпуска. Владелец Биржевой облигации имеет право на получение при погашении </w:t>
      </w:r>
      <w:r w:rsidRPr="00496E3B">
        <w:rPr>
          <w:rFonts w:ascii="Verdana" w:hAnsi="Verdana"/>
          <w:color w:val="000000" w:themeColor="text1"/>
          <w:sz w:val="20"/>
          <w:szCs w:val="20"/>
        </w:rPr>
        <w:lastRenderedPageBreak/>
        <w:t>Биржевой облигации номинальной стоимости Биржевой облигации в срок, предусмотренный Программой и Условиями выпуска.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Владелец Биржевой облигации имеет право на получение процента от номинальной стоимости Биржевой облигации (купонного дохода), в порядке и сроки, установленные в Программе и Условиях выпуска.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и на условиях, предусмотренных Программой и Условиями выпуска.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Все задолженности Эмитента по Биржевым облигациям отдельного выпуска будут юридически равны и в равной степени обязательны к исполнению.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 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По Биржевым облигациям обеспечение не предусмотрено.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не являются конвертируемыми ценными бумагами.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не являются ценными бумами, предназначенными для квалифицированных инвесторов.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8. Условия и порядок размещения облигаций вы</w:t>
      </w:r>
      <w:r w:rsidR="00694AEF">
        <w:rPr>
          <w:rFonts w:ascii="Verdana" w:hAnsi="Verdana"/>
          <w:b/>
          <w:color w:val="000000" w:themeColor="text1"/>
          <w:sz w:val="20"/>
          <w:szCs w:val="20"/>
        </w:rPr>
        <w:t>пуска (дополнительного выпуска)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8.1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Способ размещения облигаций: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Открытая подписка.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8.2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Срок размещения облигаций:</w:t>
      </w:r>
    </w:p>
    <w:p w:rsidR="001C614D" w:rsidRPr="001C614D" w:rsidRDefault="003C0AE7" w:rsidP="001C614D">
      <w:pPr>
        <w:spacing w:after="0" w:line="240" w:lineRule="auto"/>
        <w:ind w:firstLine="539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Дата начала размещения о</w:t>
      </w:r>
      <w:r w:rsidR="001C614D" w:rsidRPr="001C614D">
        <w:rPr>
          <w:rFonts w:ascii="Verdana" w:hAnsi="Verdana"/>
          <w:bCs/>
          <w:iCs/>
          <w:sz w:val="20"/>
          <w:szCs w:val="20"/>
        </w:rPr>
        <w:t>блигаций устанавливается единоличным исполнительным органом Эмитента.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 приведены в п. 8.2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Дата окончания размещения облигаций или порядок определения срока размещения облигаций:</w:t>
      </w:r>
    </w:p>
    <w:p w:rsidR="001C614D" w:rsidRPr="004B25CC" w:rsidRDefault="001C614D" w:rsidP="004B25CC">
      <w:pPr>
        <w:spacing w:after="0" w:line="240" w:lineRule="auto"/>
        <w:ind w:firstLine="539"/>
        <w:jc w:val="both"/>
        <w:rPr>
          <w:rFonts w:ascii="Verdana" w:hAnsi="Verdana"/>
          <w:bCs/>
          <w:iCs/>
          <w:sz w:val="20"/>
          <w:szCs w:val="20"/>
        </w:rPr>
      </w:pPr>
      <w:r w:rsidRPr="004B25CC">
        <w:rPr>
          <w:rFonts w:ascii="Verdana" w:hAnsi="Verdana"/>
          <w:bCs/>
          <w:iCs/>
          <w:sz w:val="20"/>
          <w:szCs w:val="20"/>
        </w:rPr>
        <w:t xml:space="preserve">Датой окончания размещения </w:t>
      </w:r>
      <w:r w:rsidR="003C0AE7">
        <w:rPr>
          <w:rFonts w:ascii="Verdana" w:hAnsi="Verdana"/>
          <w:bCs/>
          <w:iCs/>
          <w:sz w:val="20"/>
          <w:szCs w:val="20"/>
        </w:rPr>
        <w:t>о</w:t>
      </w:r>
      <w:r w:rsidRPr="004B25CC">
        <w:rPr>
          <w:rFonts w:ascii="Verdana" w:hAnsi="Verdana"/>
          <w:bCs/>
          <w:iCs/>
          <w:sz w:val="20"/>
          <w:szCs w:val="20"/>
        </w:rPr>
        <w:t>блигаций является наиболее ранняя из следующих дат:</w:t>
      </w:r>
    </w:p>
    <w:p w:rsidR="001C614D" w:rsidRPr="004B25CC" w:rsidRDefault="001C614D" w:rsidP="004B25CC">
      <w:pPr>
        <w:spacing w:after="0" w:line="240" w:lineRule="auto"/>
        <w:ind w:firstLine="539"/>
        <w:jc w:val="both"/>
        <w:rPr>
          <w:rFonts w:ascii="Verdana" w:hAnsi="Verdana"/>
          <w:bCs/>
          <w:iCs/>
          <w:sz w:val="20"/>
          <w:szCs w:val="20"/>
        </w:rPr>
      </w:pPr>
      <w:r w:rsidRPr="004B25CC">
        <w:rPr>
          <w:rFonts w:ascii="Verdana" w:hAnsi="Verdana"/>
          <w:bCs/>
          <w:iCs/>
          <w:sz w:val="20"/>
          <w:szCs w:val="20"/>
        </w:rPr>
        <w:t>а) 2-й (Второй) рабочий день с даты начала размещения Облигаций;</w:t>
      </w:r>
    </w:p>
    <w:p w:rsidR="001C614D" w:rsidRPr="004B25CC" w:rsidRDefault="001C614D" w:rsidP="004B25CC">
      <w:pPr>
        <w:spacing w:after="120" w:line="240" w:lineRule="auto"/>
        <w:ind w:firstLine="539"/>
        <w:jc w:val="both"/>
        <w:rPr>
          <w:rFonts w:ascii="Verdana" w:hAnsi="Verdana"/>
          <w:bCs/>
          <w:iCs/>
          <w:sz w:val="20"/>
          <w:szCs w:val="20"/>
        </w:rPr>
      </w:pPr>
      <w:r w:rsidRPr="004B25CC">
        <w:rPr>
          <w:rFonts w:ascii="Verdana" w:hAnsi="Verdana"/>
          <w:bCs/>
          <w:iCs/>
          <w:sz w:val="20"/>
          <w:szCs w:val="20"/>
        </w:rPr>
        <w:t xml:space="preserve">б) дата размещения последней </w:t>
      </w:r>
      <w:r w:rsidR="003C0AE7">
        <w:rPr>
          <w:rFonts w:ascii="Verdana" w:hAnsi="Verdana"/>
          <w:bCs/>
          <w:iCs/>
          <w:sz w:val="20"/>
          <w:szCs w:val="20"/>
        </w:rPr>
        <w:t>о</w:t>
      </w:r>
      <w:r w:rsidRPr="004B25CC">
        <w:rPr>
          <w:rFonts w:ascii="Verdana" w:hAnsi="Verdana"/>
          <w:bCs/>
          <w:iCs/>
          <w:sz w:val="20"/>
          <w:szCs w:val="20"/>
        </w:rPr>
        <w:t>блигации выпуска.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8.3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Порядок размещения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 8.4 Программы и п. 8.4 Условий выпуска (далее – Цена размещения).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 п. 8.3 Программы облигаций.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lastRenderedPageBreak/>
        <w:t>Информация об организациях, которые могут оказывать Эмитенту услуги по организации размещения Биржевых облигаций (далее – «Организаторы»):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Полное фирменное наименование: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Акционерное общество «Акционерный Банк «РОССИЯ»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Сокращенное фирменное наименование: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АО «АБ «РОССИЯ»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Место нахождения: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Российская Федерация, г. Санкт-Петербург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Почтовый адрес: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191124, Санкт-Петербург, пл. Растрелли, д.2, лит. А.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ИНН: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7831000122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ОГРН: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1027800000084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Номер лицензии: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 xml:space="preserve"> 040-03250-100000 (на осуществление брокерской деятельности)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Дата выдачи: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29.11.2000 г.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Срок действия: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без ограничения срока действия</w:t>
      </w:r>
    </w:p>
    <w:p w:rsidR="00833D70" w:rsidRPr="00496E3B" w:rsidRDefault="00833D70" w:rsidP="00833D70">
      <w:pPr>
        <w:spacing w:after="12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Орган, выдавший указанную лицензию: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ФКЦБ России</w:t>
      </w:r>
    </w:p>
    <w:p w:rsidR="00833D70" w:rsidRDefault="00833D70" w:rsidP="00833D70">
      <w:pPr>
        <w:spacing w:after="12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Информация об организации, которая оказывает Эмитенту услуги по размещению Биржевых облигаций, действующей по поручению и за счёт Эмитента (далее и ранее – Андеррайтер):</w:t>
      </w:r>
    </w:p>
    <w:p w:rsidR="00D825BA" w:rsidRPr="00D825BA" w:rsidRDefault="00D825BA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Размещение Биржевых</w:t>
      </w:r>
      <w:r w:rsidRPr="00D825BA">
        <w:rPr>
          <w:rFonts w:ascii="Verdana" w:hAnsi="Verdana"/>
          <w:bCs/>
          <w:iCs/>
          <w:sz w:val="20"/>
          <w:szCs w:val="20"/>
        </w:rPr>
        <w:t xml:space="preserve"> облигаций осуществляется Эмитентом самостоятельно без привлечения посредника при размещении (Андеррайтера)</w:t>
      </w:r>
      <w:r>
        <w:rPr>
          <w:rFonts w:ascii="Verdana" w:hAnsi="Verdana"/>
          <w:bCs/>
          <w:iCs/>
          <w:sz w:val="20"/>
          <w:szCs w:val="20"/>
        </w:rPr>
        <w:t>.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Полное фирменное наименование: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РОССИЙСКИЙ НАЦИОНАЛЬНЫЙ КОММЕРЧЕСКИЙ БАНК (публичное акционерное общество)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Сокращенное фирменное наименование: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РНКБ Банк (ПАО)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Место нахождения: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Российская Федерация, г. Симферополь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 w:cs="Arial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Почтовый адрес: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 w:cs="Arial"/>
          <w:color w:val="000000" w:themeColor="text1"/>
          <w:sz w:val="20"/>
          <w:szCs w:val="20"/>
        </w:rPr>
        <w:t>Российская Федерац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ия, Республика Крым, 295000, г. </w:t>
      </w:r>
      <w:r w:rsidRPr="00496E3B">
        <w:rPr>
          <w:rFonts w:ascii="Verdana" w:hAnsi="Verdana" w:cs="Arial"/>
          <w:color w:val="000000" w:themeColor="text1"/>
          <w:sz w:val="20"/>
          <w:szCs w:val="20"/>
        </w:rPr>
        <w:t xml:space="preserve">Симферополь, ул. Набережная имени 60–летия СССР, д. 32 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ИНН: </w:t>
      </w:r>
      <w:r w:rsidRPr="00496E3B">
        <w:rPr>
          <w:rFonts w:ascii="Verdana" w:hAnsi="Verdana" w:cs="Arial"/>
          <w:color w:val="000000" w:themeColor="text1"/>
          <w:sz w:val="20"/>
          <w:szCs w:val="20"/>
        </w:rPr>
        <w:t>7701105460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 w:cs="Arial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ОГРН: </w:t>
      </w:r>
      <w:r w:rsidRPr="00496E3B">
        <w:rPr>
          <w:rFonts w:ascii="Verdana" w:hAnsi="Verdana" w:cs="Arial"/>
          <w:color w:val="000000" w:themeColor="text1"/>
          <w:sz w:val="20"/>
          <w:szCs w:val="20"/>
        </w:rPr>
        <w:t>1027700381290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Номер лицензии: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035-07513-100000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(</w:t>
      </w:r>
      <w:r w:rsidRPr="00496E3B">
        <w:rPr>
          <w:rFonts w:ascii="Verdana" w:hAnsi="Verdana"/>
          <w:color w:val="000000" w:themeColor="text1"/>
          <w:sz w:val="20"/>
          <w:szCs w:val="20"/>
        </w:rPr>
        <w:t>Лицензия профессионального участника рынка ценных бумаг на осуществление брокерской деятельности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)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Дата выдачи: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17.03.2004 г.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Срок действия: </w:t>
      </w:r>
      <w:r w:rsidRPr="00496E3B">
        <w:rPr>
          <w:rFonts w:ascii="Verdana" w:hAnsi="Verdana"/>
          <w:bCs/>
          <w:iCs/>
          <w:color w:val="000000" w:themeColor="text1"/>
          <w:sz w:val="20"/>
          <w:szCs w:val="20"/>
        </w:rPr>
        <w:t>без ограничения срока действия</w:t>
      </w:r>
    </w:p>
    <w:p w:rsidR="00833D70" w:rsidRDefault="00833D70" w:rsidP="00833D70">
      <w:pPr>
        <w:spacing w:after="12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Орган, выдавший указанную лицензию: </w:t>
      </w:r>
      <w:r w:rsidRPr="00496E3B">
        <w:rPr>
          <w:rFonts w:ascii="Verdana" w:hAnsi="Verdana"/>
          <w:color w:val="000000" w:themeColor="text1"/>
          <w:sz w:val="20"/>
          <w:szCs w:val="20"/>
        </w:rPr>
        <w:t>Федеральная служба по финансовым рынкам России</w:t>
      </w:r>
    </w:p>
    <w:p w:rsidR="00833D70" w:rsidRPr="000300D4" w:rsidRDefault="00833D70" w:rsidP="00833D70">
      <w:pPr>
        <w:spacing w:after="0" w:line="240" w:lineRule="auto"/>
        <w:ind w:firstLine="567"/>
        <w:rPr>
          <w:rFonts w:ascii="Verdana" w:hAnsi="Verdana"/>
          <w:bCs/>
          <w:iCs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Основные функции лица, оказывающего Эмитенту услуги по размещению Биржевых облигаций, приведены в п. 8.3 Программы.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 8.3 Программы.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8.4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Цена (цены) или порядок определения цены размещения облигаций: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Цена размещения Биржевых облигаций - 1 000 (Одна тысяча) российских рублей за Биржевую облигацию, что соответствует 100% от номинальной стоимости Биржевой облигации.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8.5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Условия и порядок оплаты облигаций:</w:t>
      </w:r>
    </w:p>
    <w:p w:rsidR="00DF2B03" w:rsidRPr="00DF2B03" w:rsidRDefault="00DF2B03" w:rsidP="00DF2B03">
      <w:pPr>
        <w:pStyle w:val="Default"/>
        <w:ind w:firstLine="567"/>
        <w:jc w:val="both"/>
        <w:rPr>
          <w:rFonts w:ascii="Verdana" w:hAnsi="Verdana"/>
          <w:sz w:val="20"/>
          <w:szCs w:val="20"/>
        </w:rPr>
      </w:pPr>
      <w:r w:rsidRPr="00DF2B03">
        <w:rPr>
          <w:rFonts w:ascii="Verdana" w:hAnsi="Verdana"/>
          <w:bCs/>
          <w:iCs/>
          <w:sz w:val="20"/>
          <w:szCs w:val="20"/>
        </w:rPr>
        <w:t xml:space="preserve">При приобретении Биржевые облигации оплачиваются денежными средствами в безналичном порядке в рублях Российской Федерации. </w:t>
      </w:r>
    </w:p>
    <w:p w:rsidR="00DF2B03" w:rsidRPr="00DF2B03" w:rsidRDefault="00DF2B03" w:rsidP="00DF2B03">
      <w:pPr>
        <w:spacing w:after="12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DF2B03">
        <w:rPr>
          <w:rFonts w:ascii="Verdana" w:hAnsi="Verdana"/>
          <w:b/>
          <w:bCs/>
          <w:iCs/>
          <w:sz w:val="20"/>
          <w:szCs w:val="20"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Номер счета: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30411810800000002497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КПП получателя средств, поступающих в оплату ценных бумаг: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783501001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Кредитная организация: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Полное фирменное наименование: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Небанковская кредитная организация акционерное общество «Петербургский Расчетный Центр»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Сокращенное фирменное наименование</w:t>
      </w:r>
      <w:r w:rsidRPr="00496E3B">
        <w:rPr>
          <w:rFonts w:ascii="Verdana" w:hAnsi="Verdana"/>
          <w:color w:val="000000" w:themeColor="text1"/>
          <w:sz w:val="20"/>
          <w:szCs w:val="20"/>
        </w:rPr>
        <w:t>: НКО АО ПРЦ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Место нахождения: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Санкт-Петербург, ул. Садовая, д. 12/23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Почтовый адрес: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191023, Санкт-Петербург, ул. Садовая, д. 12/23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БИК: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044030505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lastRenderedPageBreak/>
        <w:t>К/с: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30105810900000000505, Банк Северо-Западное ГУ Банка России  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 8.5. Программы облигаций.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8.6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Сведения о документе, содержащем фактические итоги размещения облигаций, который представляется после завершения размещения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Сведения, подлежащие указанию в настоящем пункте, приведены в п. 8.6.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9. Порядок и условия погашения и выплаты доходов по облигациям: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9.1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Форма погашения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Погашение Биржевых облигаций производится денежными средствами в российских рублях, в безналичном порядке.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Возможность выбора владельцами Биржевых облигаций формы погашения Биржевых облигаций не    предусмотрена.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9.2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Порядок и условия погашения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Срок (дата) погашения облигаций или порядок его (ее) определения.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Дата погашения Биржевых облигации: в 1 092-й день с даты начала размещения биржевых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Порядок и условия погашения облигаций.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Сведения, подлежащие указанию в настоящем пункте, приведены в п. 9.2. Программы облигаций.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9.2.1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Порядок определения выплат по каждой структурной облигации при ее погашении: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не являются структурными облигациями.</w:t>
      </w:r>
    </w:p>
    <w:p w:rsidR="00694AEF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694AEF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9.3 </w:t>
      </w:r>
      <w:r w:rsidR="00833D70" w:rsidRPr="00694AEF">
        <w:rPr>
          <w:rFonts w:ascii="Verdana" w:hAnsi="Verdana"/>
          <w:b/>
          <w:color w:val="000000" w:themeColor="text1"/>
          <w:sz w:val="20"/>
          <w:szCs w:val="20"/>
        </w:rPr>
        <w:t>Порядок определения дохода, выплачиваемого по каждой облигации: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Доходом по Биржевым облигациям является сумма купонных доходов, начисляемых за каждый купонный период в виде процентов от номинальной стоимости/непогашенной части номинальной стоимости Биржевых облигаций и выплачиваемых в дату окончания соответствующего купонного периода.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Количество купонных периодов: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6 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Длительность каждого из купонных периодов: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182 дн.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Дата начала каждого купонного периода определяется по формуле: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ДНКП(i) = ДНР + 182* (i-1)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, 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где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ДНР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дата начала размещения Биржевых облигаций;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i 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- порядковый номер соответствующего купонного периода(i=1,…6); 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ДНКП(i)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дата начала i-го купонного периода.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Дата окончания каждого купонного периода определяется по формуле: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ДОКП(i) = ДНР + 182* i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, 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где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ДНР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дата начала размещения Биржевых облигаций;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i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- порядковый номер соответствующего купонного периода(i=1,…6); 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ДОКП(i)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дата окончания i-го купонного периода.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подпункте 2) пункта 8.3. Программы облигаций.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lastRenderedPageBreak/>
        <w:t>Информация о величине процентной ставки купона на первый купонный период раскрывается Эмитентом в соответствии с пунктом 11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Порядок определения процентной ставки по купонам, начиная со второго: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Процентные ставки по купонам, начиная со 2 (второго) по 6 устанавливаются в соответствии с пп. «Порядок определения процентной ставки по купонам, начиная со второго» п. 9.3. Программы облигаций.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 9.3. Программы облигаций.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9.4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Порядок и срок выплаты дохода по облигациям: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Выплата купонного дохода по Биржевым облигациям производится денежными средствами в российских рублях, в безналичном порядке.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Сведения, подлежащие указанию в настоящем пункте, приведены в п. 9.4 Программы облигаций.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9.5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Порядок и условия досрочного погашения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Предусмотрена возможность досрочного погашения Биржевых облигаций по требованию их владельцев в порядке и на условиях, установленных п. 9.5.1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 9.5.1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Предусмотрена возможность досрочного погашения Биржевых облигаций по усмотрению Эмитента в порядке и на условиях, установленных пп. 9.5.2.1 и пп. 9.5.2.3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Предусмотрена возможность частичного досрочного погашения Биржевых облигаций по усмотрению Эмитента в порядке и на условиях, установленных пп. 9.5.2.2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 9.5.2 Программы облигаций. Досрочное погашение Биржевых облигаций допускается только после их полной оплаты.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облигации, погашенные Эмитентом досрочно, не могут быть вновь выпущены в обращение.</w:t>
      </w:r>
    </w:p>
    <w:p w:rsidR="00833D70" w:rsidRPr="00496E3B" w:rsidRDefault="00694AEF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9.6 </w:t>
      </w:r>
      <w:r w:rsidR="00833D70" w:rsidRPr="00496E3B">
        <w:rPr>
          <w:rFonts w:ascii="Verdana" w:hAnsi="Verdana"/>
          <w:b/>
          <w:color w:val="000000" w:themeColor="text1"/>
          <w:sz w:val="20"/>
          <w:szCs w:val="20"/>
        </w:rPr>
        <w:t>Сведения о платежных агентах по облигациям: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На дату утверждения Условий 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10. Сведения о приобретении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Приобретение биржевых облигаций по требованию владельцев: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 в порядке и на условиях, установленных п. 10.1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приобретаются Эмитентом в дату, на которую приходится 3-й рабочий день с даты окончания Периода предъявления Биржевых облигаций к приобретению ("Дата приобретения по требованию владельцев").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п.10 и п. 10.1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Приобретение эмитентом биржевых облигаций по соглашению с их владельцем (владельцами):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 до наступления срока погашения в порядке и на условиях, установленных п. 10.2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указанию в настоящем пункте, приведены в п.10 и п. 10.2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11. Порядок раскрытия эмитентом информации о выпуске (дополнительном выпуске)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lastRenderedPageBreak/>
        <w:t>Сведения, подлежащие указанию в настоящем пункте, приведены в п. 11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12. Сведения об обеспечении исполнения обязательств по облигациям выпуска (дополнительного выпуска):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13. Сведения о представителе владельцев облигаций: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Представитель владельцев Биржевых облигаций на дату утверждения настоящих Условий выпуска не определен.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16. Иные сведения: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Сумма привлекаемых Эмитентом, являющимся кредитной организацией, денежных средств путем размещения ценных бумаг одного или нескольких выпусков (дополнительных выпусков) в течение одного кал</w:t>
      </w:r>
      <w:r w:rsidR="00095102">
        <w:rPr>
          <w:rFonts w:ascii="Verdana" w:hAnsi="Verdana"/>
          <w:color w:val="000000" w:themeColor="text1"/>
          <w:sz w:val="20"/>
          <w:szCs w:val="20"/>
        </w:rPr>
        <w:t>ендарного года не превышает 4 000 000 000 (Четыре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миллиарда) российских рублей.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Иные сведения, раскрываемые Эмитентом по собственному усмотрению, приведены в п. 18 Программы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br w:type="page"/>
      </w:r>
    </w:p>
    <w:p w:rsidR="00833D70" w:rsidRPr="00496E3B" w:rsidRDefault="00833D70" w:rsidP="00833D70">
      <w:pPr>
        <w:spacing w:after="0" w:line="240" w:lineRule="auto"/>
        <w:ind w:firstLine="567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lastRenderedPageBreak/>
        <w:t>ОБРАЗЕЦ СЕРТИФИКАТА</w:t>
      </w:r>
    </w:p>
    <w:p w:rsidR="00833D70" w:rsidRPr="00496E3B" w:rsidRDefault="00833D70" w:rsidP="00833D70">
      <w:pPr>
        <w:spacing w:after="0" w:line="240" w:lineRule="auto"/>
        <w:ind w:firstLine="567"/>
        <w:jc w:val="right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right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 xml:space="preserve">РОССИЙСКИЙ НАЦИОНАЛЬНЫЙ КОММЕРЧЕСКИЙ БАНК </w:t>
      </w: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(публичное акционерное общество)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Место нахождения: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 w:cs="Arial"/>
          <w:color w:val="333333"/>
          <w:sz w:val="20"/>
          <w:szCs w:val="20"/>
        </w:rPr>
        <w:t>Российская Федерация, Республика Крым, 295000, г. Симферополь, ул. Набережная имени 60-летия СССР, д. 34</w:t>
      </w:r>
      <w:r w:rsidRPr="00496E3B">
        <w:rPr>
          <w:rFonts w:ascii="Verdana" w:hAnsi="Verdana"/>
          <w:color w:val="000000" w:themeColor="text1"/>
          <w:sz w:val="20"/>
          <w:szCs w:val="20"/>
        </w:rPr>
        <w:t>.</w:t>
      </w: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Почтовый адрес: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 w:cs="Arial"/>
          <w:color w:val="333333"/>
          <w:sz w:val="20"/>
          <w:szCs w:val="20"/>
        </w:rPr>
        <w:t xml:space="preserve">Российская Федерация, Республика Крым, 295000, г. Симферополь, ул. </w:t>
      </w:r>
      <w:r w:rsidRPr="00922B13">
        <w:rPr>
          <w:rFonts w:ascii="Verdana" w:hAnsi="Verdana" w:cs="Arial"/>
          <w:color w:val="333333"/>
          <w:sz w:val="20"/>
          <w:szCs w:val="20"/>
        </w:rPr>
        <w:t>Набережная имени 60–летия СССР, д. 32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СЕРТИФИКАТ</w:t>
      </w:r>
    </w:p>
    <w:p w:rsidR="00833D70" w:rsidRPr="00496E3B" w:rsidRDefault="00833D70" w:rsidP="00833D70">
      <w:pPr>
        <w:spacing w:after="0" w:line="240" w:lineRule="auto"/>
        <w:ind w:firstLine="567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биржевых облигаций документарных процентных неконвертируемых на предъявителя с обязательным централизованным хранением серии 01</w:t>
      </w:r>
    </w:p>
    <w:p w:rsidR="00833D70" w:rsidRPr="00496E3B" w:rsidRDefault="00833D70" w:rsidP="00833D7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Идентификационный номер выпуска:</w:t>
      </w: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72"/>
      </w:tblGrid>
      <w:tr w:rsidR="00833D70" w:rsidRPr="00496E3B" w:rsidTr="00FB2B3B">
        <w:trPr>
          <w:trHeight w:val="273"/>
          <w:jc w:val="center"/>
        </w:trPr>
        <w:tc>
          <w:tcPr>
            <w:tcW w:w="248" w:type="dxa"/>
            <w:tcBorders>
              <w:left w:val="single" w:sz="4" w:space="0" w:color="auto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4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333333"/>
              <w:righ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72" w:type="dxa"/>
            <w:tcBorders>
              <w:left w:val="single" w:sz="2" w:space="0" w:color="333333"/>
            </w:tcBorders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Дата присвоения идентификационного мера:</w:t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311"/>
        <w:gridCol w:w="311"/>
        <w:gridCol w:w="311"/>
        <w:gridCol w:w="311"/>
        <w:gridCol w:w="311"/>
        <w:gridCol w:w="311"/>
        <w:gridCol w:w="311"/>
        <w:gridCol w:w="311"/>
        <w:gridCol w:w="317"/>
      </w:tblGrid>
      <w:tr w:rsidR="00833D70" w:rsidRPr="00496E3B" w:rsidTr="00FB2B3B">
        <w:trPr>
          <w:trHeight w:val="273"/>
        </w:trPr>
        <w:tc>
          <w:tcPr>
            <w:tcW w:w="294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1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317" w:type="dxa"/>
          </w:tcPr>
          <w:p w:rsidR="00833D70" w:rsidRPr="00496E3B" w:rsidRDefault="00833D70" w:rsidP="00FB2B3B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</w:tbl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  <w:r w:rsidRPr="00496E3B">
        <w:rPr>
          <w:rFonts w:ascii="Verdana" w:hAnsi="Verdana"/>
          <w:color w:val="000000" w:themeColor="text1"/>
          <w:sz w:val="20"/>
          <w:szCs w:val="20"/>
        </w:rPr>
        <w:tab/>
      </w:r>
    </w:p>
    <w:p w:rsidR="00833D70" w:rsidRPr="00496E3B" w:rsidRDefault="00833D70" w:rsidP="00833D70">
      <w:pPr>
        <w:spacing w:after="12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12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размещаются путем открытой подписки.</w:t>
      </w:r>
    </w:p>
    <w:p w:rsidR="00833D70" w:rsidRPr="00496E3B" w:rsidRDefault="00833D70" w:rsidP="00833D70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Срок погашения: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в 1 092-й день с даты начала размещения биржевых облигаций.</w:t>
      </w:r>
    </w:p>
    <w:p w:rsidR="00833D70" w:rsidRPr="00496E3B" w:rsidRDefault="00833D70" w:rsidP="00833D70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РОССИЙСКИЙ НАЦИОНАЛЬНЫЙ КОММЕРЧЕСКИЙ БАНК (публичное акционерное общество)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(далее – «Эмитент»)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833D70" w:rsidRPr="00496E3B" w:rsidRDefault="00833D70" w:rsidP="00833D70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Настоящий сертификат удостоверяет права на 3 000 000 (Три миллиона) штук Биржевых облигаций номинальной стоимостью 1 000 (Одна тысяча) российских рублей каждая общей номинальной стоимостью 3 000 000 000 (Три миллиарда) российских рублей.</w:t>
      </w:r>
    </w:p>
    <w:p w:rsidR="00833D70" w:rsidRPr="00496E3B" w:rsidRDefault="00833D70" w:rsidP="00833D70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Общее количество Биржевых облигаций, имеющих идентификационный номер _________________________________, от «___» ______________ 20___ года, составляет 3 000 000 (Три миллиона) штук Биржевых облигаций номинальной стоимостью 1 000 (Одна тысяча) российских рублей каждая и общей номинальной стоимостью 3 000 000 000 (Три миллиарда) российских рублей.</w:t>
      </w:r>
    </w:p>
    <w:p w:rsidR="00833D70" w:rsidRPr="00496E3B" w:rsidRDefault="00833D70" w:rsidP="00833D70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осуществляющую обязательное централизованное хранение сертификата облигаций.</w:t>
      </w:r>
    </w:p>
    <w:p w:rsidR="00833D70" w:rsidRPr="00496E3B" w:rsidRDefault="00833D70" w:rsidP="00833D70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F1C52">
        <w:rPr>
          <w:rFonts w:ascii="Verdana" w:hAnsi="Verdana"/>
          <w:b/>
          <w:color w:val="000000" w:themeColor="text1"/>
          <w:sz w:val="20"/>
          <w:szCs w:val="20"/>
        </w:rPr>
        <w:t>Место нахождения Депозитария: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город Москва, улица Спартаковская, дом 12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833D70" w:rsidRPr="0091788F" w:rsidTr="00FB2B3B">
        <w:tc>
          <w:tcPr>
            <w:tcW w:w="4757" w:type="dxa"/>
          </w:tcPr>
          <w:p w:rsidR="00833D70" w:rsidRPr="0091788F" w:rsidRDefault="00833D70" w:rsidP="00FB2B3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1788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Исполняющий обязанности </w:t>
            </w:r>
          </w:p>
          <w:p w:rsidR="00833D70" w:rsidRDefault="00833D70" w:rsidP="00FB2B3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1788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Председателя Правления</w:t>
            </w:r>
          </w:p>
          <w:p w:rsidR="001A1823" w:rsidRPr="0091788F" w:rsidRDefault="001A1823" w:rsidP="001A1823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496E3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РНКБ Банк (ПАО)</w:t>
            </w:r>
          </w:p>
        </w:tc>
        <w:tc>
          <w:tcPr>
            <w:tcW w:w="4757" w:type="dxa"/>
          </w:tcPr>
          <w:p w:rsidR="00833D70" w:rsidRPr="0091788F" w:rsidRDefault="00833D70" w:rsidP="00FB2B3B">
            <w:pPr>
              <w:jc w:val="right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1788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А.А. Щербаков</w:t>
            </w:r>
          </w:p>
        </w:tc>
      </w:tr>
      <w:tr w:rsidR="00833D70" w:rsidRPr="0091788F" w:rsidTr="00FB2B3B">
        <w:tc>
          <w:tcPr>
            <w:tcW w:w="4757" w:type="dxa"/>
          </w:tcPr>
          <w:p w:rsidR="00833D70" w:rsidRPr="0091788F" w:rsidRDefault="00833D70" w:rsidP="00FB2B3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:rsidR="00833D70" w:rsidRPr="0091788F" w:rsidRDefault="00833D70" w:rsidP="00FB2B3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1788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«___» ___________20___г.  М.П.</w:t>
            </w:r>
          </w:p>
        </w:tc>
        <w:tc>
          <w:tcPr>
            <w:tcW w:w="4757" w:type="dxa"/>
          </w:tcPr>
          <w:p w:rsidR="00833D70" w:rsidRPr="0091788F" w:rsidRDefault="00833D70" w:rsidP="00FB2B3B">
            <w:pPr>
              <w:jc w:val="right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Default="00833D70" w:rsidP="00833D70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br w:type="page"/>
      </w:r>
    </w:p>
    <w:p w:rsidR="00833D70" w:rsidRDefault="00833D70" w:rsidP="00833D70">
      <w:pPr>
        <w:spacing w:after="12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lastRenderedPageBreak/>
        <w:t>Далее в настоящем документе будут использоваться следующие термины:</w:t>
      </w:r>
    </w:p>
    <w:p w:rsidR="00833D70" w:rsidRPr="00496E3B" w:rsidRDefault="00833D70" w:rsidP="00833D70">
      <w:pPr>
        <w:spacing w:after="0" w:line="240" w:lineRule="auto"/>
        <w:ind w:firstLine="567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Эмитент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РОССИЙСКИЙ НАЦИОНАЛЬНЫЙ КОММЕРЧЕСКИЙ БАНК (публичное акционерное общество).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Программа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или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Программа облигаций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программа биржевых облигаций серии 001Р,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_________________________ от ____.____________._______, в рамках которой размещается настоящий выпуск биржевых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Выпуск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настоящий выпуск биржевых облигаций, размещаемых в рамках Программы.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Условия выпуска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Биржевая облигация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или </w:t>
      </w:r>
      <w:r w:rsidRPr="00496E3B">
        <w:rPr>
          <w:rFonts w:ascii="Verdana" w:hAnsi="Verdana"/>
          <w:b/>
          <w:color w:val="000000" w:themeColor="text1"/>
          <w:sz w:val="20"/>
          <w:szCs w:val="20"/>
        </w:rPr>
        <w:t>Биржевая облигация выпуска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– биржевая облигация, размещаемая в рамках Выпуска. Иные термины, используемые в Сертификате, имеют значения, определенные в Программе.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33D70" w:rsidRPr="00496E3B" w:rsidRDefault="00833D70" w:rsidP="00833D70">
      <w:pPr>
        <w:pStyle w:val="a4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Вид ценных бумаг: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Вид ценных бумаг, размещаемых в рамках программы облигаций: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Биржевые облигации на предъявителя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Серия облигаций выпуска: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01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Иные идентификационные признаки облигаций выпуска, размещаемых в рамках программы облигаций:</w:t>
      </w:r>
      <w:r w:rsidRPr="00496E3B">
        <w:rPr>
          <w:rFonts w:ascii="Verdana" w:hAnsi="Verdana"/>
          <w:color w:val="000000" w:themeColor="text1"/>
          <w:sz w:val="20"/>
          <w:szCs w:val="20"/>
        </w:rPr>
        <w:t xml:space="preserve"> Биржевые облигации процентные неконвертируемые документарные на предъявителя с обязательным централизованным хранением серии 01.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Срок (дата) погашения облигаций или порядок его (ее) определения.</w:t>
      </w:r>
    </w:p>
    <w:p w:rsidR="00833D70" w:rsidRPr="00496E3B" w:rsidRDefault="00833D70" w:rsidP="00833D70">
      <w:pPr>
        <w:spacing w:after="12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Дата погашения Биржевых облигаций в 1 092-й день с даты начала размещения Биржевых облигаций.</w:t>
      </w:r>
    </w:p>
    <w:p w:rsidR="00833D70" w:rsidRPr="00496E3B" w:rsidRDefault="00833D70" w:rsidP="00833D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96E3B">
        <w:rPr>
          <w:rFonts w:ascii="Verdana" w:hAnsi="Verdana"/>
          <w:b/>
          <w:color w:val="000000" w:themeColor="text1"/>
          <w:sz w:val="20"/>
          <w:szCs w:val="20"/>
        </w:rPr>
        <w:t>Права владельца каждой облигации выпуска (дополнительного выпуска):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(соответствующей части номинальной стоимости, в случае если решение о частичном досрочном погашении принято Эмитентом в соответствии с п. 9.5. Программы).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Владелец Биржевой облигации имеет право на получение дохода (процента), порядок определения размера которого указан в п.</w:t>
      </w:r>
      <w:r w:rsidR="00C411D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96E3B">
        <w:rPr>
          <w:rFonts w:ascii="Verdana" w:hAnsi="Verdana"/>
          <w:color w:val="000000" w:themeColor="text1"/>
          <w:sz w:val="20"/>
          <w:szCs w:val="20"/>
        </w:rPr>
        <w:t>9.3 Программы, а сроки выплаты – в п. 9.4. Программы.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833D70" w:rsidRPr="00496E3B" w:rsidRDefault="00833D70" w:rsidP="00833D70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Предоставление обеспечения по Биржевым облигациям не предусмотрено.</w:t>
      </w:r>
    </w:p>
    <w:p w:rsidR="005250D7" w:rsidRPr="00833D70" w:rsidRDefault="00833D70" w:rsidP="00CA7A06">
      <w:pPr>
        <w:spacing w:after="0" w:line="240" w:lineRule="auto"/>
        <w:ind w:firstLine="567"/>
        <w:jc w:val="both"/>
        <w:rPr>
          <w:sz w:val="20"/>
          <w:szCs w:val="20"/>
        </w:rPr>
      </w:pPr>
      <w:r w:rsidRPr="00496E3B">
        <w:rPr>
          <w:rFonts w:ascii="Verdana" w:hAnsi="Verdana"/>
          <w:color w:val="000000" w:themeColor="text1"/>
          <w:sz w:val="20"/>
          <w:szCs w:val="20"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5250D7" w:rsidRPr="00833D70" w:rsidSect="00833D70">
      <w:foot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4E" w:rsidRDefault="0068604E" w:rsidP="00E71B4D">
      <w:pPr>
        <w:spacing w:after="0" w:line="240" w:lineRule="auto"/>
      </w:pPr>
      <w:r>
        <w:separator/>
      </w:r>
    </w:p>
  </w:endnote>
  <w:endnote w:type="continuationSeparator" w:id="0">
    <w:p w:rsidR="0068604E" w:rsidRDefault="0068604E" w:rsidP="00E7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547025739"/>
      <w:docPartObj>
        <w:docPartGallery w:val="Page Numbers (Bottom of Page)"/>
        <w:docPartUnique/>
      </w:docPartObj>
    </w:sdtPr>
    <w:sdtEndPr/>
    <w:sdtContent>
      <w:p w:rsidR="00E71B4D" w:rsidRPr="00D04D49" w:rsidRDefault="00E71B4D">
        <w:pPr>
          <w:pStyle w:val="a9"/>
          <w:jc w:val="right"/>
          <w:rPr>
            <w:rFonts w:ascii="Verdana" w:hAnsi="Verdana"/>
            <w:sz w:val="16"/>
            <w:szCs w:val="16"/>
          </w:rPr>
        </w:pPr>
        <w:r w:rsidRPr="00D04D49">
          <w:rPr>
            <w:rFonts w:ascii="Verdana" w:hAnsi="Verdana"/>
            <w:sz w:val="16"/>
            <w:szCs w:val="16"/>
          </w:rPr>
          <w:fldChar w:fldCharType="begin"/>
        </w:r>
        <w:r w:rsidRPr="00D04D49">
          <w:rPr>
            <w:rFonts w:ascii="Verdana" w:hAnsi="Verdana"/>
            <w:sz w:val="16"/>
            <w:szCs w:val="16"/>
          </w:rPr>
          <w:instrText>PAGE   \* MERGEFORMAT</w:instrText>
        </w:r>
        <w:r w:rsidRPr="00D04D49">
          <w:rPr>
            <w:rFonts w:ascii="Verdana" w:hAnsi="Verdana"/>
            <w:sz w:val="16"/>
            <w:szCs w:val="16"/>
          </w:rPr>
          <w:fldChar w:fldCharType="separate"/>
        </w:r>
        <w:r w:rsidR="00BF1976">
          <w:rPr>
            <w:rFonts w:ascii="Verdana" w:hAnsi="Verdana"/>
            <w:noProof/>
            <w:sz w:val="16"/>
            <w:szCs w:val="16"/>
          </w:rPr>
          <w:t>1</w:t>
        </w:r>
        <w:r w:rsidRPr="00D04D49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71B4D" w:rsidRPr="00D04D49" w:rsidRDefault="00D04D49" w:rsidP="00D04D49">
    <w:pPr>
      <w:pStyle w:val="a9"/>
      <w:tabs>
        <w:tab w:val="clear" w:pos="4677"/>
        <w:tab w:val="clear" w:pos="9355"/>
        <w:tab w:val="left" w:pos="965"/>
      </w:tabs>
      <w:rPr>
        <w:rFonts w:ascii="Verdana" w:hAnsi="Verdana"/>
        <w:sz w:val="16"/>
        <w:szCs w:val="16"/>
      </w:rPr>
    </w:pPr>
    <w:r w:rsidRPr="00D04D49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4E" w:rsidRDefault="0068604E" w:rsidP="00E71B4D">
      <w:pPr>
        <w:spacing w:after="0" w:line="240" w:lineRule="auto"/>
      </w:pPr>
      <w:r>
        <w:separator/>
      </w:r>
    </w:p>
  </w:footnote>
  <w:footnote w:type="continuationSeparator" w:id="0">
    <w:p w:rsidR="0068604E" w:rsidRDefault="0068604E" w:rsidP="00E7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DAF"/>
    <w:multiLevelType w:val="hybridMultilevel"/>
    <w:tmpl w:val="3F38D254"/>
    <w:lvl w:ilvl="0" w:tplc="47A866C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7293889"/>
    <w:multiLevelType w:val="hybridMultilevel"/>
    <w:tmpl w:val="8C6C9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7D5A"/>
    <w:multiLevelType w:val="hybridMultilevel"/>
    <w:tmpl w:val="AF32A7D2"/>
    <w:lvl w:ilvl="0" w:tplc="8C063D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526002"/>
    <w:multiLevelType w:val="hybridMultilevel"/>
    <w:tmpl w:val="3F38D254"/>
    <w:lvl w:ilvl="0" w:tplc="47A866C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7C442E5"/>
    <w:multiLevelType w:val="hybridMultilevel"/>
    <w:tmpl w:val="3F38D254"/>
    <w:lvl w:ilvl="0" w:tplc="47A866C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C4A5DB6"/>
    <w:multiLevelType w:val="hybridMultilevel"/>
    <w:tmpl w:val="064602B0"/>
    <w:lvl w:ilvl="0" w:tplc="9B467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62411F"/>
    <w:multiLevelType w:val="hybridMultilevel"/>
    <w:tmpl w:val="FF04D6F4"/>
    <w:lvl w:ilvl="0" w:tplc="E03047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E6416"/>
    <w:multiLevelType w:val="multilevel"/>
    <w:tmpl w:val="F8FCA6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94228F"/>
    <w:multiLevelType w:val="hybridMultilevel"/>
    <w:tmpl w:val="778CCF8E"/>
    <w:lvl w:ilvl="0" w:tplc="7804A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B515F3"/>
    <w:multiLevelType w:val="hybridMultilevel"/>
    <w:tmpl w:val="DCE0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54631"/>
    <w:multiLevelType w:val="hybridMultilevel"/>
    <w:tmpl w:val="744C2884"/>
    <w:lvl w:ilvl="0" w:tplc="2354AB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0FB42AA"/>
    <w:multiLevelType w:val="multilevel"/>
    <w:tmpl w:val="66C06DC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F85086"/>
    <w:multiLevelType w:val="hybridMultilevel"/>
    <w:tmpl w:val="976E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D17C9"/>
    <w:multiLevelType w:val="hybridMultilevel"/>
    <w:tmpl w:val="F3E2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E4075"/>
    <w:multiLevelType w:val="hybridMultilevel"/>
    <w:tmpl w:val="87CE9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A3E9D"/>
    <w:multiLevelType w:val="hybridMultilevel"/>
    <w:tmpl w:val="2738E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9364E"/>
    <w:multiLevelType w:val="multilevel"/>
    <w:tmpl w:val="3134E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FA"/>
    <w:rsid w:val="00013A37"/>
    <w:rsid w:val="00022B3C"/>
    <w:rsid w:val="00045E02"/>
    <w:rsid w:val="00050514"/>
    <w:rsid w:val="000546DF"/>
    <w:rsid w:val="00067432"/>
    <w:rsid w:val="00086EFB"/>
    <w:rsid w:val="00095102"/>
    <w:rsid w:val="000B0960"/>
    <w:rsid w:val="000C5CEE"/>
    <w:rsid w:val="000D20A8"/>
    <w:rsid w:val="000E2383"/>
    <w:rsid w:val="000F0268"/>
    <w:rsid w:val="000F0C36"/>
    <w:rsid w:val="000F74DA"/>
    <w:rsid w:val="00116529"/>
    <w:rsid w:val="00116F79"/>
    <w:rsid w:val="001522E3"/>
    <w:rsid w:val="00180FC2"/>
    <w:rsid w:val="00186563"/>
    <w:rsid w:val="001A1823"/>
    <w:rsid w:val="001B1DF5"/>
    <w:rsid w:val="001B6411"/>
    <w:rsid w:val="001B646B"/>
    <w:rsid w:val="001C614D"/>
    <w:rsid w:val="001E4999"/>
    <w:rsid w:val="001F28E3"/>
    <w:rsid w:val="00226558"/>
    <w:rsid w:val="00227E87"/>
    <w:rsid w:val="00263B2D"/>
    <w:rsid w:val="00275DDB"/>
    <w:rsid w:val="002777AE"/>
    <w:rsid w:val="00282F0D"/>
    <w:rsid w:val="00283122"/>
    <w:rsid w:val="0029299C"/>
    <w:rsid w:val="002A713E"/>
    <w:rsid w:val="002B6121"/>
    <w:rsid w:val="002B6548"/>
    <w:rsid w:val="003339D5"/>
    <w:rsid w:val="0035765F"/>
    <w:rsid w:val="00357FEB"/>
    <w:rsid w:val="00372375"/>
    <w:rsid w:val="00375259"/>
    <w:rsid w:val="00380DAE"/>
    <w:rsid w:val="00386F59"/>
    <w:rsid w:val="0039760B"/>
    <w:rsid w:val="003B0E92"/>
    <w:rsid w:val="003B26DD"/>
    <w:rsid w:val="003C0AE7"/>
    <w:rsid w:val="0042235E"/>
    <w:rsid w:val="00451F0A"/>
    <w:rsid w:val="0047039A"/>
    <w:rsid w:val="004774FC"/>
    <w:rsid w:val="00480BC5"/>
    <w:rsid w:val="004917A3"/>
    <w:rsid w:val="00494FC5"/>
    <w:rsid w:val="004B25CC"/>
    <w:rsid w:val="004B4FFF"/>
    <w:rsid w:val="004D0033"/>
    <w:rsid w:val="004D236D"/>
    <w:rsid w:val="004D55D4"/>
    <w:rsid w:val="004D7F7E"/>
    <w:rsid w:val="004E62B0"/>
    <w:rsid w:val="00514B51"/>
    <w:rsid w:val="005250D7"/>
    <w:rsid w:val="005268E2"/>
    <w:rsid w:val="00541836"/>
    <w:rsid w:val="00546B99"/>
    <w:rsid w:val="00571FBE"/>
    <w:rsid w:val="005B576E"/>
    <w:rsid w:val="005D201E"/>
    <w:rsid w:val="005E63D7"/>
    <w:rsid w:val="0061337B"/>
    <w:rsid w:val="00630617"/>
    <w:rsid w:val="00637073"/>
    <w:rsid w:val="006742B6"/>
    <w:rsid w:val="006743F2"/>
    <w:rsid w:val="006820AA"/>
    <w:rsid w:val="0068604E"/>
    <w:rsid w:val="00694AEF"/>
    <w:rsid w:val="006C6E44"/>
    <w:rsid w:val="007066C4"/>
    <w:rsid w:val="00726E7D"/>
    <w:rsid w:val="00750224"/>
    <w:rsid w:val="00754EFC"/>
    <w:rsid w:val="00756BF1"/>
    <w:rsid w:val="00787341"/>
    <w:rsid w:val="00795F44"/>
    <w:rsid w:val="007A4C0F"/>
    <w:rsid w:val="007E3B89"/>
    <w:rsid w:val="007F7017"/>
    <w:rsid w:val="00833D70"/>
    <w:rsid w:val="00842263"/>
    <w:rsid w:val="00854A49"/>
    <w:rsid w:val="00880095"/>
    <w:rsid w:val="00885197"/>
    <w:rsid w:val="008B2005"/>
    <w:rsid w:val="008E6429"/>
    <w:rsid w:val="008E6813"/>
    <w:rsid w:val="0091554B"/>
    <w:rsid w:val="0091788F"/>
    <w:rsid w:val="009277E7"/>
    <w:rsid w:val="00960932"/>
    <w:rsid w:val="00971879"/>
    <w:rsid w:val="009A3BBE"/>
    <w:rsid w:val="009A4D64"/>
    <w:rsid w:val="009B4AFA"/>
    <w:rsid w:val="009E31A0"/>
    <w:rsid w:val="00A45AFB"/>
    <w:rsid w:val="00AB4CBC"/>
    <w:rsid w:val="00AC0017"/>
    <w:rsid w:val="00AC2DFD"/>
    <w:rsid w:val="00AE3753"/>
    <w:rsid w:val="00B51B7E"/>
    <w:rsid w:val="00B6632C"/>
    <w:rsid w:val="00B67650"/>
    <w:rsid w:val="00B93280"/>
    <w:rsid w:val="00B96125"/>
    <w:rsid w:val="00BB42E7"/>
    <w:rsid w:val="00BC4489"/>
    <w:rsid w:val="00BF1976"/>
    <w:rsid w:val="00C11F0A"/>
    <w:rsid w:val="00C150D9"/>
    <w:rsid w:val="00C22A05"/>
    <w:rsid w:val="00C411DF"/>
    <w:rsid w:val="00C5601B"/>
    <w:rsid w:val="00C76F06"/>
    <w:rsid w:val="00C775FD"/>
    <w:rsid w:val="00C8448B"/>
    <w:rsid w:val="00CA0951"/>
    <w:rsid w:val="00CA7A06"/>
    <w:rsid w:val="00CB0A0A"/>
    <w:rsid w:val="00CF17F1"/>
    <w:rsid w:val="00D029D5"/>
    <w:rsid w:val="00D04D49"/>
    <w:rsid w:val="00D144DA"/>
    <w:rsid w:val="00D33C07"/>
    <w:rsid w:val="00D35B93"/>
    <w:rsid w:val="00D5314F"/>
    <w:rsid w:val="00D64205"/>
    <w:rsid w:val="00D666D9"/>
    <w:rsid w:val="00D67D66"/>
    <w:rsid w:val="00D67F9D"/>
    <w:rsid w:val="00D825BA"/>
    <w:rsid w:val="00DE30EB"/>
    <w:rsid w:val="00DE3BEE"/>
    <w:rsid w:val="00DF2B03"/>
    <w:rsid w:val="00E01D6F"/>
    <w:rsid w:val="00E24FF3"/>
    <w:rsid w:val="00E30290"/>
    <w:rsid w:val="00E60395"/>
    <w:rsid w:val="00E71B4D"/>
    <w:rsid w:val="00EB60B3"/>
    <w:rsid w:val="00EC0089"/>
    <w:rsid w:val="00EF5FE3"/>
    <w:rsid w:val="00EF7344"/>
    <w:rsid w:val="00F15437"/>
    <w:rsid w:val="00F16C22"/>
    <w:rsid w:val="00F266B2"/>
    <w:rsid w:val="00F465F3"/>
    <w:rsid w:val="00F81C6B"/>
    <w:rsid w:val="00F868EC"/>
    <w:rsid w:val="00F97AA4"/>
    <w:rsid w:val="00F97C3E"/>
    <w:rsid w:val="00FA27BA"/>
    <w:rsid w:val="00FA7E07"/>
    <w:rsid w:val="00FB0ECF"/>
    <w:rsid w:val="00FB4496"/>
    <w:rsid w:val="00FB5F85"/>
    <w:rsid w:val="00FC6A2A"/>
    <w:rsid w:val="00F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22766-F1E0-4F57-9393-0881BDFA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8B2005"/>
  </w:style>
  <w:style w:type="character" w:customStyle="1" w:styleId="pek">
    <w:name w:val="_pe_k"/>
    <w:basedOn w:val="a0"/>
    <w:rsid w:val="007066C4"/>
  </w:style>
  <w:style w:type="paragraph" w:styleId="a4">
    <w:name w:val="List Paragraph"/>
    <w:basedOn w:val="a"/>
    <w:uiPriority w:val="34"/>
    <w:qFormat/>
    <w:rsid w:val="00F868EC"/>
    <w:pPr>
      <w:ind w:left="720"/>
      <w:contextualSpacing/>
    </w:pPr>
  </w:style>
  <w:style w:type="paragraph" w:customStyle="1" w:styleId="Default">
    <w:name w:val="Default"/>
    <w:rsid w:val="00B67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A4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33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E7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1B4D"/>
  </w:style>
  <w:style w:type="paragraph" w:styleId="a9">
    <w:name w:val="footer"/>
    <w:basedOn w:val="a"/>
    <w:link w:val="aa"/>
    <w:uiPriority w:val="99"/>
    <w:unhideWhenUsed/>
    <w:rsid w:val="00E7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Scheglov_SS</dc:creator>
  <cp:lastModifiedBy>Родичева Дарья Алексеевна (drodicheva)</cp:lastModifiedBy>
  <cp:revision>2</cp:revision>
  <cp:lastPrinted>2019-04-08T13:02:00Z</cp:lastPrinted>
  <dcterms:created xsi:type="dcterms:W3CDTF">2020-02-19T14:46:00Z</dcterms:created>
  <dcterms:modified xsi:type="dcterms:W3CDTF">2020-02-19T14:46:00Z</dcterms:modified>
</cp:coreProperties>
</file>