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DD7BFA" w:rsidRPr="00BC28A3" w14:paraId="724B59BF" w14:textId="77777777" w:rsidTr="00A956D6">
        <w:tc>
          <w:tcPr>
            <w:tcW w:w="2835" w:type="dxa"/>
            <w:vAlign w:val="bottom"/>
          </w:tcPr>
          <w:p w14:paraId="38FFC8A8" w14:textId="77777777" w:rsidR="00DD7BFA" w:rsidRPr="009F2B7F" w:rsidRDefault="00DD7BFA"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Pr="009F2B7F">
              <w:rPr>
                <w:rFonts w:ascii="Times New Roman" w:eastAsia="Times New Roman" w:hAnsi="Times New Roman"/>
                <w:color w:val="000000"/>
                <w:sz w:val="18"/>
                <w:szCs w:val="18"/>
              </w:rPr>
              <w:t>к торгам на бирже</w:t>
            </w:r>
          </w:p>
          <w:p w14:paraId="47C1A8E0" w14:textId="77777777" w:rsidR="00DD7BFA" w:rsidRPr="00BC28A3" w:rsidRDefault="00DD7BF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206D99B2" w:rsidR="00DD7BFA" w:rsidRPr="001373F2" w:rsidRDefault="00DD7BF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DD7BFA" w:rsidRDefault="00DD7BFA"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7ADF7C4" w:rsidR="00DD7BFA" w:rsidRPr="00F3736B" w:rsidRDefault="00DD7BFA"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18E21451" w:rsidR="00DD7BFA" w:rsidRPr="00BC28A3" w:rsidRDefault="00DD7BFA" w:rsidP="00C13697">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34321C67" w:rsidR="00DD7BFA" w:rsidRPr="00F3736B" w:rsidRDefault="00DD7BFA"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DD7BFA" w:rsidRPr="00BC28A3" w:rsidRDefault="00DD7BFA" w:rsidP="00C13697">
            <w:pPr>
              <w:autoSpaceDE w:val="0"/>
              <w:autoSpaceDN w:val="0"/>
              <w:spacing w:after="0" w:line="240" w:lineRule="auto"/>
              <w:rPr>
                <w:rFonts w:ascii="Times New Roman" w:hAnsi="Times New Roman"/>
                <w:b/>
                <w:color w:val="000000" w:themeColor="text1"/>
                <w:sz w:val="18"/>
                <w:szCs w:val="18"/>
              </w:rPr>
            </w:pPr>
          </w:p>
          <w:p w14:paraId="3A052438" w14:textId="77777777" w:rsidR="00DD7BFA" w:rsidRPr="00BC28A3" w:rsidRDefault="00DD7BFA"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F879B3"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7325F065" w:rsidR="00F879B3" w:rsidRPr="00A515B6" w:rsidRDefault="00F879B3"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11843CA5"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19173347"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2A16DA26"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49BBB5DA" w:rsidR="00F879B3" w:rsidRPr="0073579E"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5</w:t>
            </w:r>
          </w:p>
        </w:tc>
        <w:tc>
          <w:tcPr>
            <w:tcW w:w="312" w:type="dxa"/>
            <w:tcBorders>
              <w:top w:val="single" w:sz="4" w:space="0" w:color="auto"/>
              <w:bottom w:val="single" w:sz="4" w:space="0" w:color="auto"/>
            </w:tcBorders>
            <w:vAlign w:val="center"/>
          </w:tcPr>
          <w:p w14:paraId="032888D0" w14:textId="52E1A981" w:rsidR="00F879B3" w:rsidRPr="00F879B3"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FBF3FCC" w:rsidR="00F879B3" w:rsidRPr="00ED3C50"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26FF42BD"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9B00708"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610A847D"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B898D4B"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6FE66F1"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38BFE638"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34EFD4CD"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6FC389DF"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B8D2234" w:rsidR="00F879B3" w:rsidRPr="00F3736B" w:rsidRDefault="00F879B3"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F879B3" w:rsidRPr="00BC28A3" w:rsidRDefault="00F879B3"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F879B3" w:rsidRPr="00BC28A3" w:rsidRDefault="00F879B3"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231FBFFF"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61742C" w:rsidRPr="0061742C">
        <w:rPr>
          <w:rFonts w:ascii="Times New Roman" w:hAnsi="Times New Roman"/>
          <w:b/>
          <w:bCs/>
          <w:i/>
          <w:iCs/>
          <w:sz w:val="24"/>
          <w:szCs w:val="24"/>
        </w:rPr>
        <w:t>5</w:t>
      </w:r>
      <w:r w:rsidR="00317C47">
        <w:rPr>
          <w:rFonts w:ascii="Times New Roman" w:hAnsi="Times New Roman"/>
          <w:b/>
          <w:bCs/>
          <w:i/>
          <w:iCs/>
          <w:sz w:val="24"/>
          <w:szCs w:val="24"/>
        </w:rPr>
        <w:t>9</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E34CD6" w:rsidRPr="00E34CD6">
        <w:rPr>
          <w:rFonts w:ascii="Times New Roman" w:hAnsi="Times New Roman"/>
          <w:b/>
          <w:bCs/>
          <w:i/>
          <w:iCs/>
          <w:sz w:val="24"/>
          <w:szCs w:val="24"/>
        </w:rPr>
        <w:t>3</w:t>
      </w:r>
      <w:r w:rsidR="00465EFE">
        <w:rPr>
          <w:rFonts w:ascii="Times New Roman" w:hAnsi="Times New Roman"/>
          <w:b/>
          <w:bCs/>
          <w:i/>
          <w:iCs/>
          <w:sz w:val="24"/>
          <w:szCs w:val="24"/>
        </w:rPr>
        <w:t xml:space="preserve"> 0</w:t>
      </w:r>
      <w:r w:rsidRPr="00C12901">
        <w:rPr>
          <w:rFonts w:ascii="Times New Roman" w:hAnsi="Times New Roman"/>
          <w:b/>
          <w:bCs/>
          <w:i/>
          <w:iCs/>
          <w:sz w:val="24"/>
          <w:szCs w:val="24"/>
        </w:rPr>
        <w:t>00 000 (</w:t>
      </w:r>
      <w:r w:rsidR="00E34CD6">
        <w:rPr>
          <w:rFonts w:ascii="Times New Roman" w:hAnsi="Times New Roman"/>
          <w:b/>
          <w:bCs/>
          <w:i/>
          <w:iCs/>
          <w:sz w:val="24"/>
          <w:szCs w:val="24"/>
        </w:rPr>
        <w:t>Три</w:t>
      </w:r>
      <w:r w:rsidR="00465EFE">
        <w:rPr>
          <w:rFonts w:ascii="Times New Roman" w:hAnsi="Times New Roman"/>
          <w:b/>
          <w:bCs/>
          <w:i/>
          <w:iCs/>
          <w:sz w:val="24"/>
          <w:szCs w:val="24"/>
        </w:rPr>
        <w:t xml:space="preserve"> миллион</w:t>
      </w:r>
      <w:r w:rsidR="00E34CD6">
        <w:rPr>
          <w:rFonts w:ascii="Times New Roman" w:hAnsi="Times New Roman"/>
          <w:b/>
          <w:bCs/>
          <w:i/>
          <w:iCs/>
          <w:sz w:val="24"/>
          <w:szCs w:val="24"/>
        </w:rPr>
        <w:t>а</w:t>
      </w:r>
      <w:r w:rsidRPr="00C12901">
        <w:rPr>
          <w:rFonts w:ascii="Times New Roman" w:hAnsi="Times New Roman"/>
          <w:b/>
          <w:bCs/>
          <w:i/>
          <w:iCs/>
          <w:sz w:val="24"/>
          <w:szCs w:val="24"/>
        </w:rPr>
        <w:t xml:space="preserve">) штук, общей номинальной стоимостью </w:t>
      </w:r>
      <w:r w:rsidR="00E34CD6">
        <w:rPr>
          <w:rFonts w:ascii="Times New Roman" w:hAnsi="Times New Roman"/>
          <w:b/>
          <w:bCs/>
          <w:i/>
          <w:iCs/>
          <w:sz w:val="24"/>
          <w:szCs w:val="24"/>
        </w:rPr>
        <w:t>3</w:t>
      </w:r>
      <w:r w:rsidR="00465EFE">
        <w:rPr>
          <w:rFonts w:ascii="Times New Roman" w:hAnsi="Times New Roman"/>
          <w:b/>
          <w:bCs/>
          <w:i/>
          <w:iCs/>
          <w:sz w:val="24"/>
          <w:szCs w:val="24"/>
        </w:rPr>
        <w:t xml:space="preserve"> 0</w:t>
      </w:r>
      <w:r w:rsidRPr="00C12901">
        <w:rPr>
          <w:rFonts w:ascii="Times New Roman" w:hAnsi="Times New Roman"/>
          <w:b/>
          <w:bCs/>
          <w:i/>
          <w:iCs/>
          <w:sz w:val="24"/>
          <w:szCs w:val="24"/>
        </w:rPr>
        <w:t>00 000 000 (</w:t>
      </w:r>
      <w:r w:rsidR="00E34CD6">
        <w:rPr>
          <w:rFonts w:ascii="Times New Roman" w:hAnsi="Times New Roman"/>
          <w:b/>
          <w:bCs/>
          <w:i/>
          <w:iCs/>
          <w:sz w:val="24"/>
          <w:szCs w:val="24"/>
        </w:rPr>
        <w:t>Три</w:t>
      </w:r>
      <w:r w:rsidR="00465EFE">
        <w:rPr>
          <w:rFonts w:ascii="Times New Roman" w:hAnsi="Times New Roman"/>
          <w:b/>
          <w:bCs/>
          <w:i/>
          <w:iCs/>
          <w:sz w:val="24"/>
          <w:szCs w:val="24"/>
        </w:rPr>
        <w:t xml:space="preserve"> миллиард</w:t>
      </w:r>
      <w:r w:rsidR="00E34CD6">
        <w:rPr>
          <w:rFonts w:ascii="Times New Roman" w:hAnsi="Times New Roman"/>
          <w:b/>
          <w:bCs/>
          <w:i/>
          <w:iCs/>
          <w:sz w:val="24"/>
          <w:szCs w:val="24"/>
        </w:rPr>
        <w:t>а</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4969F1A0"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EB1697">
        <w:rPr>
          <w:rFonts w:ascii="Times New Roman" w:hAnsi="Times New Roman"/>
          <w:color w:val="000000" w:themeColor="text1"/>
          <w:sz w:val="24"/>
          <w:szCs w:val="24"/>
        </w:rPr>
        <w:t>«26» декабря 2019 года (Приказ № 2634 от «26» декабря</w:t>
      </w:r>
      <w:r w:rsidR="00EB1697">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2EBCF753" w:rsidR="00B97F78" w:rsidRPr="00C12901" w:rsidRDefault="00B97F78" w:rsidP="00EB1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EB1697">
              <w:rPr>
                <w:rFonts w:ascii="Times New Roman" w:hAnsi="Times New Roman"/>
                <w:color w:val="000000" w:themeColor="text1"/>
                <w:sz w:val="24"/>
                <w:szCs w:val="24"/>
                <w:lang w:val="en-US"/>
              </w:rPr>
              <w:t>26</w:t>
            </w:r>
            <w:r w:rsidRPr="00C12901">
              <w:rPr>
                <w:rFonts w:ascii="Times New Roman" w:hAnsi="Times New Roman"/>
                <w:color w:val="000000" w:themeColor="text1"/>
                <w:sz w:val="24"/>
                <w:szCs w:val="24"/>
              </w:rPr>
              <w:t>»</w:t>
            </w:r>
          </w:p>
        </w:tc>
        <w:tc>
          <w:tcPr>
            <w:tcW w:w="1527" w:type="dxa"/>
            <w:vAlign w:val="bottom"/>
          </w:tcPr>
          <w:p w14:paraId="199B7ABC" w14:textId="2268EFA4" w:rsidR="00B97F78" w:rsidRPr="00C12901" w:rsidRDefault="00EB1697"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2EBE1ACE"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EB1697">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6E533B8E"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9F7AE1" w:rsidRPr="0061742C">
        <w:rPr>
          <w:rFonts w:ascii="Times New Roman" w:hAnsi="Times New Roman"/>
          <w:bCs/>
          <w:iCs/>
          <w:sz w:val="24"/>
          <w:szCs w:val="24"/>
        </w:rPr>
        <w:t>5</w:t>
      </w:r>
      <w:r w:rsidR="00317C47">
        <w:rPr>
          <w:rFonts w:ascii="Times New Roman" w:hAnsi="Times New Roman"/>
          <w:bCs/>
          <w:iCs/>
          <w:sz w:val="24"/>
          <w:szCs w:val="24"/>
        </w:rPr>
        <w:t>9</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2406D7A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E34CD6">
        <w:rPr>
          <w:rFonts w:ascii="Times New Roman" w:hAnsi="Times New Roman"/>
          <w:bCs/>
          <w:iCs/>
          <w:sz w:val="24"/>
          <w:szCs w:val="24"/>
        </w:rPr>
        <w:t>3</w:t>
      </w:r>
      <w:r w:rsidR="00D47B35">
        <w:rPr>
          <w:rFonts w:ascii="Times New Roman" w:hAnsi="Times New Roman"/>
          <w:bCs/>
          <w:iCs/>
          <w:sz w:val="24"/>
          <w:szCs w:val="24"/>
        </w:rPr>
        <w:t xml:space="preserve">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E34CD6">
        <w:rPr>
          <w:rFonts w:ascii="Times New Roman" w:hAnsi="Times New Roman"/>
          <w:bCs/>
          <w:iCs/>
          <w:sz w:val="24"/>
          <w:szCs w:val="24"/>
        </w:rPr>
        <w:t>Три</w:t>
      </w:r>
      <w:r w:rsidR="00D47B35">
        <w:rPr>
          <w:rFonts w:ascii="Times New Roman" w:hAnsi="Times New Roman"/>
          <w:bCs/>
          <w:iCs/>
          <w:sz w:val="24"/>
          <w:szCs w:val="24"/>
        </w:rPr>
        <w:t xml:space="preserve"> миллион</w:t>
      </w:r>
      <w:r w:rsidR="00E34CD6">
        <w:rPr>
          <w:rFonts w:ascii="Times New Roman" w:hAnsi="Times New Roman"/>
          <w:bCs/>
          <w:iCs/>
          <w:sz w:val="24"/>
          <w:szCs w:val="24"/>
        </w:rPr>
        <w:t>а</w:t>
      </w:r>
      <w:r w:rsidR="00D47B35">
        <w:rPr>
          <w:rFonts w:ascii="Times New Roman" w:hAnsi="Times New Roman"/>
          <w:bCs/>
          <w:iCs/>
          <w:sz w:val="24"/>
          <w:szCs w:val="24"/>
        </w:rPr>
        <w:t>)</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w:t>
      </w:r>
      <w:proofErr w:type="gramStart"/>
      <w:r w:rsidRPr="00222C57">
        <w:rPr>
          <w:rFonts w:ascii="Times New Roman" w:hAnsi="Times New Roman"/>
          <w:bCs/>
          <w:iCs/>
          <w:sz w:val="24"/>
          <w:szCs w:val="24"/>
        </w:rPr>
        <w:t xml:space="preserve">указан </w:t>
      </w:r>
      <w:r w:rsidR="00324412">
        <w:rPr>
          <w:rFonts w:ascii="Times New Roman" w:hAnsi="Times New Roman"/>
          <w:bCs/>
          <w:iCs/>
          <w:sz w:val="24"/>
          <w:szCs w:val="24"/>
        </w:rPr>
        <w:t xml:space="preserve"> в</w:t>
      </w:r>
      <w:proofErr w:type="gramEnd"/>
      <w:r w:rsidR="00324412">
        <w:rPr>
          <w:rFonts w:ascii="Times New Roman" w:hAnsi="Times New Roman"/>
          <w:bCs/>
          <w:iCs/>
          <w:sz w:val="24"/>
          <w:szCs w:val="24"/>
        </w:rPr>
        <w:t xml:space="preserve">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lastRenderedPageBreak/>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w:t>
      </w:r>
      <w:proofErr w:type="gramStart"/>
      <w:r>
        <w:rPr>
          <w:rFonts w:ascii="Times New Roman" w:hAnsi="Times New Roman"/>
          <w:bCs/>
          <w:iCs/>
          <w:sz w:val="24"/>
          <w:szCs w:val="24"/>
        </w:rPr>
        <w:t xml:space="preserve">за </w:t>
      </w:r>
      <w:r w:rsidRPr="00442114">
        <w:rPr>
          <w:rFonts w:ascii="Times New Roman" w:hAnsi="Times New Roman"/>
          <w:bCs/>
          <w:iCs/>
          <w:sz w:val="24"/>
          <w:szCs w:val="24"/>
        </w:rPr>
        <w:t>счет</w:t>
      </w:r>
      <w:proofErr w:type="gramEnd"/>
      <w:r w:rsidRPr="00442114">
        <w:rPr>
          <w:rFonts w:ascii="Times New Roman" w:hAnsi="Times New Roman"/>
          <w:bCs/>
          <w:iCs/>
          <w:sz w:val="24"/>
          <w:szCs w:val="24"/>
        </w:rPr>
        <w:t xml:space="preserve">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lastRenderedPageBreak/>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proofErr w:type="spellStart"/>
      <w:r w:rsidRPr="00C4086A">
        <w:rPr>
          <w:rFonts w:ascii="Times New Roman" w:hAnsi="Times New Roman"/>
          <w:bCs/>
          <w:iCs/>
          <w:sz w:val="24"/>
          <w:szCs w:val="24"/>
        </w:rPr>
        <w:t>Cj</w:t>
      </w:r>
      <w:proofErr w:type="spellEnd"/>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lastRenderedPageBreak/>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proofErr w:type="spellStart"/>
      <w:r w:rsidRPr="002A09D3">
        <w:rPr>
          <w:rFonts w:ascii="Times New Roman" w:hAnsi="Times New Roman"/>
          <w:b/>
          <w:bCs/>
          <w:i/>
          <w:iCs/>
          <w:sz w:val="24"/>
          <w:szCs w:val="24"/>
        </w:rPr>
        <w:t>Референсный</w:t>
      </w:r>
      <w:proofErr w:type="spellEnd"/>
      <w:r w:rsidRPr="002A09D3">
        <w:rPr>
          <w:rFonts w:ascii="Times New Roman" w:hAnsi="Times New Roman"/>
          <w:b/>
          <w:bCs/>
          <w:i/>
          <w:iCs/>
          <w:sz w:val="24"/>
          <w:szCs w:val="24"/>
        </w:rPr>
        <w:t xml:space="preserve">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lastRenderedPageBreak/>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w:t>
      </w:r>
      <w:proofErr w:type="spellStart"/>
      <w:r>
        <w:rPr>
          <w:rFonts w:ascii="Times New Roman" w:hAnsi="Times New Roman"/>
          <w:bCs/>
          <w:iCs/>
          <w:sz w:val="24"/>
          <w:szCs w:val="24"/>
        </w:rPr>
        <w:t>Референсным</w:t>
      </w:r>
      <w:proofErr w:type="spellEnd"/>
      <w:r>
        <w:rPr>
          <w:rFonts w:ascii="Times New Roman" w:hAnsi="Times New Roman"/>
          <w:bCs/>
          <w:iCs/>
          <w:sz w:val="24"/>
          <w:szCs w:val="24"/>
        </w:rPr>
        <w:t xml:space="preserve">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xml:space="preserve">, </w:t>
      </w:r>
      <w:proofErr w:type="spellStart"/>
      <w:r w:rsidR="0046665C" w:rsidRPr="00685B5E">
        <w:rPr>
          <w:rFonts w:ascii="Times New Roman" w:hAnsi="Times New Roman" w:cs="Times New Roman"/>
          <w:sz w:val="24"/>
          <w:szCs w:val="24"/>
        </w:rPr>
        <w:t>Делистинг</w:t>
      </w:r>
      <w:proofErr w:type="spellEnd"/>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w:t>
      </w:r>
      <w:proofErr w:type="spellStart"/>
      <w:r w:rsidRPr="002A09D3">
        <w:rPr>
          <w:rFonts w:ascii="Times New Roman" w:hAnsi="Times New Roman" w:cs="Times New Roman"/>
          <w:sz w:val="24"/>
          <w:szCs w:val="24"/>
        </w:rPr>
        <w:t>аа</w:t>
      </w:r>
      <w:proofErr w:type="spellEnd"/>
      <w:r w:rsidRPr="002A09D3">
        <w:rPr>
          <w:rFonts w:ascii="Times New Roman" w:hAnsi="Times New Roman" w:cs="Times New Roman"/>
          <w:sz w:val="24"/>
          <w:szCs w:val="24"/>
        </w:rPr>
        <w:t>)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w:t>
      </w:r>
      <w:proofErr w:type="spellStart"/>
      <w:r w:rsidRPr="002A09D3">
        <w:rPr>
          <w:rFonts w:ascii="Times New Roman" w:hAnsi="Times New Roman" w:cs="Times New Roman"/>
          <w:sz w:val="24"/>
          <w:szCs w:val="24"/>
        </w:rPr>
        <w:t>бб</w:t>
      </w:r>
      <w:proofErr w:type="spellEnd"/>
      <w:r w:rsidRPr="002A09D3">
        <w:rPr>
          <w:rFonts w:ascii="Times New Roman" w:hAnsi="Times New Roman" w:cs="Times New Roman"/>
          <w:sz w:val="24"/>
          <w:szCs w:val="24"/>
        </w:rPr>
        <w:t>) провозглашение решения Конституционного Суда Российской Федерации; (</w:t>
      </w:r>
      <w:proofErr w:type="spellStart"/>
      <w:r w:rsidRPr="002A09D3">
        <w:rPr>
          <w:rFonts w:ascii="Times New Roman" w:hAnsi="Times New Roman" w:cs="Times New Roman"/>
          <w:sz w:val="24"/>
          <w:szCs w:val="24"/>
        </w:rPr>
        <w:t>вв</w:t>
      </w:r>
      <w:proofErr w:type="spellEnd"/>
      <w:r w:rsidRPr="002A09D3">
        <w:rPr>
          <w:rFonts w:ascii="Times New Roman" w:hAnsi="Times New Roman" w:cs="Times New Roman"/>
          <w:sz w:val="24"/>
          <w:szCs w:val="24"/>
        </w:rPr>
        <w:t>)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w:t>
      </w:r>
      <w:proofErr w:type="spellStart"/>
      <w:r w:rsidRPr="002A09D3">
        <w:rPr>
          <w:rFonts w:ascii="Times New Roman" w:hAnsi="Times New Roman" w:cs="Times New Roman"/>
          <w:sz w:val="24"/>
          <w:szCs w:val="24"/>
        </w:rPr>
        <w:t>гг</w:t>
      </w:r>
      <w:proofErr w:type="spellEnd"/>
      <w:r w:rsidRPr="002A09D3">
        <w:rPr>
          <w:rFonts w:ascii="Times New Roman" w:hAnsi="Times New Roman" w:cs="Times New Roman"/>
          <w:sz w:val="24"/>
          <w:szCs w:val="24"/>
        </w:rPr>
        <w:t xml:space="preserve">)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proofErr w:type="spellStart"/>
      <w:r w:rsidRPr="002A09D3">
        <w:rPr>
          <w:rFonts w:ascii="Times New Roman" w:hAnsi="Times New Roman" w:cs="Times New Roman"/>
          <w:sz w:val="24"/>
          <w:szCs w:val="24"/>
        </w:rPr>
        <w:t>Референсным</w:t>
      </w:r>
      <w:proofErr w:type="spellEnd"/>
      <w:r w:rsidRPr="002A09D3">
        <w:rPr>
          <w:rFonts w:ascii="Times New Roman" w:hAnsi="Times New Roman" w:cs="Times New Roman"/>
          <w:sz w:val="24"/>
          <w:szCs w:val="24"/>
        </w:rPr>
        <w:t xml:space="preserve">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proofErr w:type="spellStart"/>
      <w:r w:rsidR="00F428EA" w:rsidRPr="00685B5E">
        <w:rPr>
          <w:rFonts w:ascii="Times New Roman" w:hAnsi="Times New Roman" w:cs="Times New Roman"/>
          <w:sz w:val="24"/>
          <w:szCs w:val="24"/>
        </w:rPr>
        <w:t>Референсному</w:t>
      </w:r>
      <w:proofErr w:type="spellEnd"/>
      <w:r w:rsidR="00F428EA" w:rsidRPr="00685B5E">
        <w:rPr>
          <w:rFonts w:ascii="Times New Roman" w:hAnsi="Times New Roman" w:cs="Times New Roman"/>
          <w:sz w:val="24"/>
          <w:szCs w:val="24"/>
        </w:rPr>
        <w:t xml:space="preserve">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w:t>
      </w:r>
      <w:r w:rsidR="0046665C" w:rsidRPr="00963C34">
        <w:rPr>
          <w:rFonts w:ascii="Times New Roman" w:hAnsi="Times New Roman" w:cs="Times New Roman"/>
          <w:sz w:val="24"/>
          <w:szCs w:val="24"/>
        </w:rPr>
        <w:lastRenderedPageBreak/>
        <w:t xml:space="preserve">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proofErr w:type="spellStart"/>
      <w:r w:rsidR="00F428EA">
        <w:rPr>
          <w:rFonts w:ascii="Times New Roman" w:hAnsi="Times New Roman" w:cs="Times New Roman"/>
          <w:sz w:val="24"/>
          <w:szCs w:val="24"/>
        </w:rPr>
        <w:t>Референсные</w:t>
      </w:r>
      <w:proofErr w:type="spellEnd"/>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proofErr w:type="spellStart"/>
      <w:r w:rsidRPr="003B0940">
        <w:rPr>
          <w:rFonts w:ascii="Times New Roman" w:hAnsi="Times New Roman" w:cs="Times New Roman"/>
          <w:b/>
          <w:i/>
          <w:sz w:val="24"/>
          <w:szCs w:val="24"/>
        </w:rPr>
        <w:t>Делистинг</w:t>
      </w:r>
      <w:proofErr w:type="spellEnd"/>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proofErr w:type="spellStart"/>
      <w:r w:rsidR="008411EC">
        <w:rPr>
          <w:rFonts w:ascii="Times New Roman" w:hAnsi="Times New Roman" w:cs="Times New Roman"/>
          <w:sz w:val="24"/>
          <w:szCs w:val="24"/>
        </w:rPr>
        <w:t>Референсные</w:t>
      </w:r>
      <w:proofErr w:type="spellEnd"/>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w:t>
      </w:r>
      <w:proofErr w:type="spellStart"/>
      <w:r w:rsidR="008E1337">
        <w:rPr>
          <w:rFonts w:ascii="Times New Roman" w:hAnsi="Times New Roman"/>
          <w:bCs/>
          <w:iCs/>
          <w:sz w:val="24"/>
          <w:szCs w:val="24"/>
        </w:rPr>
        <w:t>пп</w:t>
      </w:r>
      <w:proofErr w:type="spellEnd"/>
      <w:r w:rsidR="008E1337">
        <w:rPr>
          <w:rFonts w:ascii="Times New Roman" w:hAnsi="Times New Roman"/>
          <w:bCs/>
          <w:iCs/>
          <w:sz w:val="24"/>
          <w:szCs w:val="24"/>
        </w:rPr>
        <w:t xml:space="preserve">.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w:t>
      </w:r>
      <w:proofErr w:type="gramStart"/>
      <w:r w:rsidR="003A23AF">
        <w:rPr>
          <w:rFonts w:ascii="Times New Roman" w:hAnsi="Times New Roman"/>
          <w:bCs/>
          <w:iCs/>
          <w:sz w:val="24"/>
          <w:szCs w:val="24"/>
        </w:rPr>
        <w:t xml:space="preserve">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раскрывается</w:t>
      </w:r>
      <w:proofErr w:type="gramEnd"/>
      <w:r w:rsidR="003A23AF">
        <w:rPr>
          <w:rFonts w:ascii="Times New Roman" w:hAnsi="Times New Roman"/>
          <w:bCs/>
          <w:iCs/>
          <w:sz w:val="24"/>
          <w:szCs w:val="24"/>
        </w:rPr>
        <w:t xml:space="preserve">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 xml:space="preserve">Особого </w:t>
      </w:r>
      <w:r w:rsidR="00486E8A" w:rsidRPr="0028500D">
        <w:rPr>
          <w:rFonts w:ascii="Times New Roman" w:hAnsi="Times New Roman"/>
          <w:bCs/>
          <w:iCs/>
          <w:sz w:val="24"/>
          <w:szCs w:val="24"/>
        </w:rPr>
        <w:lastRenderedPageBreak/>
        <w:t>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w:t>
      </w:r>
      <w:r w:rsidR="001B5689">
        <w:rPr>
          <w:rFonts w:ascii="Times New Roman" w:hAnsi="Times New Roman"/>
          <w:bCs/>
          <w:iCs/>
          <w:sz w:val="24"/>
          <w:szCs w:val="24"/>
        </w:rPr>
        <w:lastRenderedPageBreak/>
        <w:t xml:space="preserve">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49BA26DA" w:rsidR="00B97F78" w:rsidRPr="00306242" w:rsidRDefault="00E34CD6" w:rsidP="00B97F78">
      <w:pPr>
        <w:adjustRightInd w:val="0"/>
        <w:spacing w:before="120" w:after="120"/>
        <w:ind w:firstLine="540"/>
        <w:jc w:val="right"/>
        <w:rPr>
          <w:rFonts w:ascii="Times New Roman" w:hAnsi="Times New Roman"/>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w:lastRenderedPageBreak/>
        <mc:AlternateContent>
          <mc:Choice Requires="wps">
            <w:drawing>
              <wp:anchor distT="0" distB="0" distL="114300" distR="114300" simplePos="0" relativeHeight="251659264" behindDoc="1" locked="0" layoutInCell="1" allowOverlap="1" wp14:anchorId="09D8DDE9" wp14:editId="766894FC">
                <wp:simplePos x="0" y="0"/>
                <wp:positionH relativeFrom="column">
                  <wp:posOffset>-235585</wp:posOffset>
                </wp:positionH>
                <wp:positionV relativeFrom="paragraph">
                  <wp:posOffset>185420</wp:posOffset>
                </wp:positionV>
                <wp:extent cx="6800850" cy="9344025"/>
                <wp:effectExtent l="19050" t="19050" r="38100" b="476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93440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DF0D8" id="Прямоугольник 6" o:spid="_x0000_s1026" style="position:absolute;margin-left:-18.55pt;margin-top:14.6pt;width:535.5pt;height:7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3DrAIAAB8FAAAOAAAAZHJzL2Uyb0RvYy54bWysVEtu2zAQ3RfoHQjuHUmO7NhC5CCw7KJA&#10;PwGSHoCWKIsIRaokbTktChTotkCP0EN0U/STM8g36pCSXbvZFEW5oIbicOa9mUeeX2xKjtZUaSZF&#10;jIMTHyMqUpkxsYzxq5t5b4SRNkRkhEtBY3xHNb6YPH50XlcR7ctC8owqBEGEjuoqxoUxVeR5Oi1o&#10;SfSJrKiAzVyqkhhYqqWXKVJD9JJ7fd8ferVUWaVkSrWGv0m7iScufp7T1LzMc00N4jEGbMbNys0L&#10;O3uTcxItFakKlnYwyD+gKAkTkHQfKiGGoJViD0KVLFVSy9ycpLL0ZJ6zlDoOwCbw/2BzXZCKOi5Q&#10;HF3ty6T/X9j0xfpKIZbFeIiRICW0qPm8fb/91Pxo7rcfmi/NffN9+7H52XxtvqGhrVdd6QiOXVdX&#10;yjLW1TOZ3mok5LQgYkkvlZJ1QUkGKAPr7x0dsAsNR9Gifi4zSEdWRrrSbXJV2oBQFLRxHbrbd4hu&#10;DErh53Dk+6MBNDKFvfFpGPr9gctBot3xSmnzhMoSWSPGCiTgwpP1M20sHBLtXGw2IeeMcycDLlAd&#10;48FZ4BKUFRTFgCxub4quuVpylll3x1stF1Ou0JpYabnRITlyK5kBgXNWxhiww7BOJLIFmonM2YYw&#10;3tqAjQu7DXwBbWe1Qno79sez0WwU9sL+cNYL/STpXc6nYW84D84GyWkynSbBO0s1CKOCZRkVFupO&#10;1EH4d6Lprlcrx72sjyjpQ+ZzNx4y945huLoDq93XsXPKsGJoRbWQ2R0IQ0loG7QYXhUwCqneYFTD&#10;DY2xfr0iimLEnwoQ1ziA9sOVdotwcNaHhTrcWRzuEJFCKOgoRq05Ne0zsKoUWxaQKXAyEfISBJkz&#10;JxUr1hZVJ2O4hY5B92LYa364dl6/37XJLwAAAP//AwBQSwMEFAAGAAgAAAAhANhrXWvhAAAADAEA&#10;AA8AAABkcnMvZG93bnJldi54bWxMj8FOwzAMhu9IvENkJC5oS9YC20rTCZC4IaEWxNlrvLZa45Qm&#10;2wpPT3aCmy1/+v39+WayvTjS6DvHGhZzBYK4dqbjRsPH+8tsBcIHZIO9Y9LwTR42xeVFjplxJy7p&#10;WIVGxBD2GWpoQxgyKX3dkkU/dwNxvO3caDHEdWykGfEUw20vE6XupcWO44cWB3puqd5XB6vh5sdU&#10;K0p3++62LN+eys+v13BAra+vpscHEIGm8AfDWT+qQxGdtu7AxotewyxdLiKqIVknIM6AStM1iG2c&#10;7pRagixy+b9E8QsAAP//AwBQSwECLQAUAAYACAAAACEAtoM4kv4AAADhAQAAEwAAAAAAAAAAAAAA&#10;AAAAAAAAW0NvbnRlbnRfVHlwZXNdLnhtbFBLAQItABQABgAIAAAAIQA4/SH/1gAAAJQBAAALAAAA&#10;AAAAAAAAAAAAAC8BAABfcmVscy8ucmVsc1BLAQItABQABgAIAAAAIQCpT93DrAIAAB8FAAAOAAAA&#10;AAAAAAAAAAAAAC4CAABkcnMvZTJvRG9jLnhtbFBLAQItABQABgAIAAAAIQDYa11r4QAAAAwBAAAP&#10;AAAAAAAAAAAAAAAAAAYFAABkcnMvZG93bnJldi54bWxQSwUGAAAAAAQABADzAAAAFAYAAAAA&#10;" filled="f" strokeweight="4.5pt">
                <v:stroke linestyle="thickThin"/>
              </v:rect>
            </w:pict>
          </mc:Fallback>
        </mc:AlternateContent>
      </w:r>
      <w:bookmarkEnd w:id="1"/>
      <w:bookmarkEnd w:id="2"/>
      <w:bookmarkEnd w:id="3"/>
      <w:r w:rsidR="00B97F78" w:rsidRPr="00306242">
        <w:rPr>
          <w:rFonts w:ascii="Times New Roman" w:hAnsi="Times New Roman"/>
          <w:sz w:val="24"/>
          <w:szCs w:val="24"/>
        </w:rPr>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6E86F035"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674C2081" w:rsidR="00B97F78" w:rsidRPr="001601FF"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9F7AE1" w:rsidRPr="009F7AE1">
        <w:rPr>
          <w:rFonts w:ascii="Times New Roman" w:eastAsia="Times New Roman" w:hAnsi="Times New Roman"/>
          <w:b/>
          <w:bCs/>
          <w:sz w:val="24"/>
          <w:szCs w:val="24"/>
        </w:rPr>
        <w:t>5</w:t>
      </w:r>
      <w:r w:rsidR="00317C47">
        <w:rPr>
          <w:rFonts w:ascii="Times New Roman" w:eastAsia="Times New Roman" w:hAnsi="Times New Roman"/>
          <w:b/>
          <w:bCs/>
          <w:sz w:val="24"/>
          <w:szCs w:val="24"/>
        </w:rPr>
        <w:t>9</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proofErr w:type="spellStart"/>
      <w:r w:rsidRPr="003B09F3">
        <w:rPr>
          <w:rFonts w:ascii="Times New Roman" w:eastAsia="Times New Roman" w:hAnsi="Times New Roman"/>
          <w:sz w:val="24"/>
          <w:szCs w:val="24"/>
        </w:rPr>
        <w:t>Cрок</w:t>
      </w:r>
      <w:proofErr w:type="spellEnd"/>
      <w:r w:rsidRPr="003B09F3">
        <w:rPr>
          <w:rFonts w:ascii="Times New Roman" w:eastAsia="Times New Roman" w:hAnsi="Times New Roman"/>
          <w:sz w:val="24"/>
          <w:szCs w:val="24"/>
        </w:rPr>
        <w:t xml:space="preserve">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7A43D113"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миллион</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Pr="003B09F3">
        <w:rPr>
          <w:rFonts w:ascii="Times New Roman" w:eastAsia="Times New Roman" w:hAnsi="Times New Roman"/>
          <w:sz w:val="24"/>
          <w:szCs w:val="24"/>
        </w:rPr>
        <w:t>00 000 000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миллиард</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российских рублей.</w:t>
      </w:r>
    </w:p>
    <w:p w14:paraId="3C68E617" w14:textId="40B501CA"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миллион</w:t>
      </w:r>
      <w:r w:rsidR="00E34CD6">
        <w:rPr>
          <w:rFonts w:ascii="Times New Roman" w:eastAsia="Times New Roman" w:hAnsi="Times New Roman"/>
          <w:sz w:val="24"/>
          <w:szCs w:val="24"/>
        </w:rPr>
        <w:t>а</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Pr="003B09F3">
        <w:rPr>
          <w:rFonts w:ascii="Times New Roman" w:eastAsia="Times New Roman" w:hAnsi="Times New Roman"/>
          <w:sz w:val="24"/>
          <w:szCs w:val="24"/>
        </w:rPr>
        <w:t>00 000 000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миллиард</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080419A1"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9F7AE1" w:rsidRPr="0061742C">
        <w:rPr>
          <w:rFonts w:ascii="Times New Roman" w:hAnsi="Times New Roman"/>
          <w:bCs/>
          <w:iCs/>
          <w:sz w:val="24"/>
          <w:szCs w:val="24"/>
        </w:rPr>
        <w:t>5</w:t>
      </w:r>
      <w:r w:rsidR="00317C47">
        <w:rPr>
          <w:rFonts w:ascii="Times New Roman" w:hAnsi="Times New Roman"/>
          <w:bCs/>
          <w:iCs/>
          <w:sz w:val="24"/>
          <w:szCs w:val="24"/>
        </w:rPr>
        <w:t>9</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BADDC" w14:textId="77777777" w:rsidR="007F6AF6" w:rsidRDefault="007F6AF6" w:rsidP="00B97F78">
      <w:pPr>
        <w:spacing w:after="0" w:line="240" w:lineRule="auto"/>
      </w:pPr>
      <w:r>
        <w:separator/>
      </w:r>
    </w:p>
  </w:endnote>
  <w:endnote w:type="continuationSeparator" w:id="0">
    <w:p w14:paraId="7F9CD4F9" w14:textId="77777777" w:rsidR="007F6AF6" w:rsidRDefault="007F6AF6" w:rsidP="00B97F78">
      <w:pPr>
        <w:spacing w:after="0" w:line="240" w:lineRule="auto"/>
      </w:pPr>
      <w:r>
        <w:continuationSeparator/>
      </w:r>
    </w:p>
  </w:endnote>
  <w:endnote w:type="continuationNotice" w:id="1">
    <w:p w14:paraId="1AD40A7E" w14:textId="77777777" w:rsidR="007F6AF6" w:rsidRDefault="007F6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707CB20"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F603B">
      <w:rPr>
        <w:rFonts w:ascii="Times New Roman" w:hAnsi="Times New Roman"/>
        <w:noProof/>
        <w:sz w:val="24"/>
        <w:szCs w:val="24"/>
      </w:rPr>
      <w:t>4</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0454B" w14:textId="77777777" w:rsidR="007F6AF6" w:rsidRDefault="007F6AF6" w:rsidP="00B97F78">
      <w:pPr>
        <w:spacing w:after="0" w:line="240" w:lineRule="auto"/>
      </w:pPr>
      <w:r>
        <w:separator/>
      </w:r>
    </w:p>
  </w:footnote>
  <w:footnote w:type="continuationSeparator" w:id="0">
    <w:p w14:paraId="40F7ABDF" w14:textId="77777777" w:rsidR="007F6AF6" w:rsidRDefault="007F6AF6" w:rsidP="00B97F78">
      <w:pPr>
        <w:spacing w:after="0" w:line="240" w:lineRule="auto"/>
      </w:pPr>
      <w:r>
        <w:continuationSeparator/>
      </w:r>
    </w:p>
  </w:footnote>
  <w:footnote w:type="continuationNotice" w:id="1">
    <w:p w14:paraId="4A9D2A4C" w14:textId="77777777" w:rsidR="007F6AF6" w:rsidRDefault="007F6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E1EDE"/>
    <w:rsid w:val="000E3BDF"/>
    <w:rsid w:val="000F603B"/>
    <w:rsid w:val="000F7463"/>
    <w:rsid w:val="00106B1B"/>
    <w:rsid w:val="001108FD"/>
    <w:rsid w:val="001157C7"/>
    <w:rsid w:val="0011701C"/>
    <w:rsid w:val="00123193"/>
    <w:rsid w:val="00124D9E"/>
    <w:rsid w:val="00125EA8"/>
    <w:rsid w:val="00136C53"/>
    <w:rsid w:val="001373F2"/>
    <w:rsid w:val="00141FDE"/>
    <w:rsid w:val="0014216F"/>
    <w:rsid w:val="00143207"/>
    <w:rsid w:val="00145A71"/>
    <w:rsid w:val="001460AF"/>
    <w:rsid w:val="00155371"/>
    <w:rsid w:val="001601FF"/>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E61"/>
    <w:rsid w:val="002C08B4"/>
    <w:rsid w:val="002C2387"/>
    <w:rsid w:val="002C3FF5"/>
    <w:rsid w:val="002C4EB0"/>
    <w:rsid w:val="002D3687"/>
    <w:rsid w:val="002D65AE"/>
    <w:rsid w:val="002F7F3F"/>
    <w:rsid w:val="00301387"/>
    <w:rsid w:val="00311671"/>
    <w:rsid w:val="00317C47"/>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7A26"/>
    <w:rsid w:val="00401105"/>
    <w:rsid w:val="00410FB5"/>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1742C"/>
    <w:rsid w:val="0063705C"/>
    <w:rsid w:val="00646798"/>
    <w:rsid w:val="0065105B"/>
    <w:rsid w:val="00663722"/>
    <w:rsid w:val="0066425D"/>
    <w:rsid w:val="006720A7"/>
    <w:rsid w:val="00673E2F"/>
    <w:rsid w:val="00676C6D"/>
    <w:rsid w:val="00685B5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7BB3"/>
    <w:rsid w:val="007E1833"/>
    <w:rsid w:val="007F3C82"/>
    <w:rsid w:val="007F468C"/>
    <w:rsid w:val="007F6AF6"/>
    <w:rsid w:val="00810AC8"/>
    <w:rsid w:val="00811AA4"/>
    <w:rsid w:val="00826E3E"/>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44F3A"/>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1FD7"/>
    <w:rsid w:val="009F7AE1"/>
    <w:rsid w:val="00A0076F"/>
    <w:rsid w:val="00A302E1"/>
    <w:rsid w:val="00A31958"/>
    <w:rsid w:val="00A3474C"/>
    <w:rsid w:val="00A35939"/>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66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12D5"/>
    <w:rsid w:val="00D33383"/>
    <w:rsid w:val="00D35334"/>
    <w:rsid w:val="00D41F93"/>
    <w:rsid w:val="00D47B35"/>
    <w:rsid w:val="00D47BE6"/>
    <w:rsid w:val="00D51C87"/>
    <w:rsid w:val="00D61C94"/>
    <w:rsid w:val="00D65CD4"/>
    <w:rsid w:val="00D76B07"/>
    <w:rsid w:val="00D805A8"/>
    <w:rsid w:val="00D81EE4"/>
    <w:rsid w:val="00D91B7A"/>
    <w:rsid w:val="00DA4B5C"/>
    <w:rsid w:val="00DA7895"/>
    <w:rsid w:val="00DB209A"/>
    <w:rsid w:val="00DB74A0"/>
    <w:rsid w:val="00DB763E"/>
    <w:rsid w:val="00DC2E5F"/>
    <w:rsid w:val="00DC3E98"/>
    <w:rsid w:val="00DD578B"/>
    <w:rsid w:val="00DD7BFA"/>
    <w:rsid w:val="00DE1B21"/>
    <w:rsid w:val="00DE387A"/>
    <w:rsid w:val="00E0597C"/>
    <w:rsid w:val="00E075C6"/>
    <w:rsid w:val="00E165F4"/>
    <w:rsid w:val="00E20922"/>
    <w:rsid w:val="00E226AC"/>
    <w:rsid w:val="00E22CFA"/>
    <w:rsid w:val="00E34CD6"/>
    <w:rsid w:val="00E37D17"/>
    <w:rsid w:val="00E432BE"/>
    <w:rsid w:val="00E54EC8"/>
    <w:rsid w:val="00E97757"/>
    <w:rsid w:val="00EB12AE"/>
    <w:rsid w:val="00EB1697"/>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879B3"/>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4253F67-F4C7-4582-932C-755EE539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08514-0A65-4A76-8AC6-00286055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7908</Words>
  <Characters>45078</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2019-12-26T12:20:00Z</cp:lastPrinted>
  <dcterms:created xsi:type="dcterms:W3CDTF">2020-03-16T09:18:00Z</dcterms:created>
  <dcterms:modified xsi:type="dcterms:W3CDTF">2020-03-16T09:18:00Z</dcterms:modified>
</cp:coreProperties>
</file>