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7EA7003" w:rsidR="00F4339C" w:rsidRPr="00AD2750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29684B3" w:rsidR="00F4339C" w:rsidRPr="00C454FF" w:rsidRDefault="00CF2E8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A1AC67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031F2A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CF2E82" w:rsidRPr="00CF2E82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>Пятьсот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BF9E351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Б-1-76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CF87C6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02-7</w:t>
      </w:r>
      <w:r w:rsidR="00CF2E82" w:rsidRPr="00CF2E82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17.03.2020.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6BB0100" w:rsidR="00610E7E" w:rsidRPr="00FC2AE6" w:rsidRDefault="00F2195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5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Пятьсот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B2A0CB1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F2E82" w:rsidRPr="00CF2E82">
        <w:rPr>
          <w:b/>
          <w:bCs/>
          <w:i/>
          <w:iCs/>
          <w:color w:val="000000" w:themeColor="text1"/>
          <w:sz w:val="22"/>
          <w:szCs w:val="22"/>
        </w:rPr>
        <w:t>16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A122E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65B3C181" w:rsidR="003D4BB7" w:rsidRPr="00FC2AE6" w:rsidRDefault="00B814AF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Срок для направления оферт о заключении предварительных договоров с потенциальными приобретателями Биржевых облигаций, содержащих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10:00 (по московскому времени) </w:t>
      </w:r>
      <w:r w:rsidR="00CF2E82" w:rsidRPr="00CF2E82">
        <w:rPr>
          <w:rFonts w:ascii="Times New Roman" w:hAnsi="Times New Roman"/>
          <w:b/>
          <w:bCs/>
          <w:i/>
          <w:iCs/>
        </w:rPr>
        <w:t>08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 xml:space="preserve">.2020 и заканчивается в 16:00 (по московскому времени) </w:t>
      </w:r>
      <w:r w:rsidR="00CF2E82" w:rsidRPr="00CF2E82">
        <w:rPr>
          <w:rFonts w:ascii="Times New Roman" w:hAnsi="Times New Roman"/>
          <w:b/>
          <w:bCs/>
          <w:i/>
          <w:iCs/>
        </w:rPr>
        <w:t>11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>.2020.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37F8D71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раскрывает информацию 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54290F0" w14:textId="77777777" w:rsidR="004A777B" w:rsidRPr="004A777B" w:rsidRDefault="004A777B" w:rsidP="004A777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4A777B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A777B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4A777B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3AD6C711" w14:textId="77777777" w:rsidR="00CF2E82" w:rsidRPr="00CF2E82" w:rsidRDefault="00CF2E82" w:rsidP="00CF2E8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CF2E82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CF2E82">
        <w:rPr>
          <w:rFonts w:ascii="Times New Roman" w:hAnsi="Times New Roman"/>
          <w:bCs/>
          <w:i/>
          <w:iCs/>
          <w:lang w:val="en-US"/>
        </w:rPr>
        <w:t>S</w:t>
      </w:r>
      <w:r w:rsidRPr="00CF2E82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CF2E82">
        <w:rPr>
          <w:rFonts w:ascii="Times New Roman" w:hAnsi="Times New Roman"/>
          <w:bCs/>
          <w:i/>
          <w:iCs/>
        </w:rPr>
        <w:t xml:space="preserve">(j) / </w:t>
      </w:r>
      <w:r w:rsidRPr="00CF2E82">
        <w:rPr>
          <w:rFonts w:ascii="Times New Roman" w:hAnsi="Times New Roman"/>
          <w:bCs/>
          <w:i/>
          <w:iCs/>
          <w:lang w:val="en-US"/>
        </w:rPr>
        <w:t>S</w:t>
      </w:r>
      <w:r w:rsidRPr="00CF2E82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CF2E82">
        <w:rPr>
          <w:rFonts w:ascii="Times New Roman" w:hAnsi="Times New Roman"/>
          <w:bCs/>
          <w:i/>
          <w:iCs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5C9FA1E1" w14:textId="77777777" w:rsidR="00CF2E82" w:rsidRPr="00CF2E82" w:rsidRDefault="00CF2E82" w:rsidP="00CF2E8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CF2E82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CF2E82">
        <w:rPr>
          <w:rFonts w:ascii="Times New Roman" w:hAnsi="Times New Roman"/>
          <w:bCs/>
          <w:i/>
          <w:iCs/>
          <w:lang w:val="en-US"/>
        </w:rPr>
        <w:t>S</w:t>
      </w:r>
      <w:r w:rsidRPr="00CF2E82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CF2E82">
        <w:rPr>
          <w:rFonts w:ascii="Times New Roman" w:hAnsi="Times New Roman"/>
          <w:bCs/>
          <w:i/>
          <w:iCs/>
        </w:rPr>
        <w:t xml:space="preserve">(j) / </w:t>
      </w:r>
      <w:r w:rsidRPr="00CF2E82">
        <w:rPr>
          <w:rFonts w:ascii="Times New Roman" w:hAnsi="Times New Roman"/>
          <w:bCs/>
          <w:i/>
          <w:iCs/>
          <w:lang w:val="en-US"/>
        </w:rPr>
        <w:t>S</w:t>
      </w:r>
      <w:r w:rsidRPr="00CF2E82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CF2E82">
        <w:rPr>
          <w:rFonts w:ascii="Times New Roman" w:hAnsi="Times New Roman"/>
          <w:bCs/>
          <w:i/>
          <w:iCs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7312123F" w14:textId="77777777" w:rsidR="00CF2E82" w:rsidRPr="00CF2E82" w:rsidRDefault="00CF2E82" w:rsidP="00CF2E82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</w:rPr>
      </w:pPr>
    </w:p>
    <w:p w14:paraId="1752EF1A" w14:textId="77777777" w:rsidR="00CF2E82" w:rsidRPr="00CF2E82" w:rsidRDefault="00CF2E82" w:rsidP="00CF2E82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</w:rPr>
      </w:pPr>
      <w:r w:rsidRPr="00CF2E82">
        <w:rPr>
          <w:rFonts w:ascii="Times New Roman" w:hAnsi="Times New Roman"/>
          <w:b/>
          <w:bCs/>
          <w:i/>
          <w:iCs/>
        </w:rPr>
        <w:t>Ставка дополнительного дохода</w:t>
      </w:r>
      <w:r w:rsidRPr="00CF2E82">
        <w:rPr>
          <w:rFonts w:ascii="Times New Roman" w:hAnsi="Times New Roman"/>
          <w:b/>
          <w:bCs/>
          <w:i/>
          <w:iCs/>
          <w:vertAlign w:val="subscript"/>
          <w:lang w:val="en-US"/>
        </w:rPr>
        <w:t>j</w:t>
      </w:r>
      <w:r w:rsidRPr="00CF2E82">
        <w:rPr>
          <w:rFonts w:ascii="Times New Roman" w:hAnsi="Times New Roman"/>
          <w:b/>
          <w:bCs/>
          <w:i/>
          <w:iCs/>
          <w:vertAlign w:val="subscript"/>
        </w:rPr>
        <w:t xml:space="preserve"> </w:t>
      </w:r>
      <w:r w:rsidRPr="00CF2E82">
        <w:rPr>
          <w:rFonts w:ascii="Times New Roman" w:hAnsi="Times New Roman"/>
          <w:b/>
          <w:bCs/>
          <w:i/>
          <w:iCs/>
        </w:rPr>
        <w:t xml:space="preserve">= </w:t>
      </w:r>
      <w:r w:rsidRPr="00CF2E82">
        <w:rPr>
          <w:rFonts w:ascii="Times New Roman" w:hAnsi="Times New Roman"/>
          <w:b/>
          <w:bCs/>
          <w:i/>
          <w:iCs/>
          <w:lang w:val="en-US"/>
        </w:rPr>
        <w:t>n</w:t>
      </w:r>
      <w:r w:rsidRPr="00CF2E82">
        <w:rPr>
          <w:rFonts w:ascii="Times New Roman" w:hAnsi="Times New Roman"/>
          <w:b/>
          <w:bCs/>
          <w:i/>
          <w:iCs/>
        </w:rPr>
        <w:t xml:space="preserve"> * </w:t>
      </w:r>
      <w:r w:rsidRPr="00CF2E82">
        <w:rPr>
          <w:rFonts w:ascii="Times New Roman" w:hAnsi="Times New Roman"/>
          <w:b/>
          <w:bCs/>
          <w:i/>
          <w:iCs/>
          <w:lang w:val="en-US"/>
        </w:rPr>
        <w:t>R</w:t>
      </w:r>
      <w:r w:rsidRPr="00CF2E82">
        <w:rPr>
          <w:rFonts w:ascii="Times New Roman" w:hAnsi="Times New Roman"/>
          <w:b/>
          <w:bCs/>
          <w:i/>
          <w:iCs/>
        </w:rPr>
        <w:t xml:space="preserve"> / 2</w:t>
      </w:r>
      <w:r w:rsidRPr="00CF2E82">
        <w:rPr>
          <w:rFonts w:ascii="Times New Roman" w:hAnsi="Times New Roman"/>
          <w:bCs/>
          <w:i/>
          <w:iCs/>
        </w:rPr>
        <w:t xml:space="preserve">, </w:t>
      </w:r>
      <w:r w:rsidRPr="00CF2E82">
        <w:rPr>
          <w:rFonts w:ascii="Times New Roman" w:hAnsi="Times New Roman"/>
          <w:color w:val="000000"/>
        </w:rPr>
        <w:t>где:</w:t>
      </w:r>
    </w:p>
    <w:p w14:paraId="63AB87CB" w14:textId="77777777" w:rsidR="00CF2E82" w:rsidRPr="00CF2E82" w:rsidRDefault="00CF2E82" w:rsidP="00CF2E82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CF2E82">
        <w:rPr>
          <w:rFonts w:ascii="Times New Roman" w:hAnsi="Times New Roman"/>
          <w:b/>
          <w:i/>
          <w:lang w:val="en-US"/>
        </w:rPr>
        <w:t>R</w:t>
      </w:r>
      <w:r w:rsidRPr="00CF2E82">
        <w:rPr>
          <w:rFonts w:ascii="Times New Roman" w:hAnsi="Times New Roman"/>
        </w:rPr>
        <w:t xml:space="preserve"> –</w:t>
      </w:r>
      <w:r w:rsidRPr="00CF2E82">
        <w:rPr>
          <w:rFonts w:ascii="Times New Roman" w:hAnsi="Times New Roman"/>
          <w:b/>
          <w:i/>
        </w:rPr>
        <w:t xml:space="preserve"> </w:t>
      </w:r>
      <w:r w:rsidRPr="00CF2E82">
        <w:rPr>
          <w:rFonts w:ascii="Times New Roman" w:hAnsi="Times New Roman"/>
        </w:rPr>
        <w:t>величина</w:t>
      </w:r>
      <w:r w:rsidRPr="00CF2E82">
        <w:rPr>
          <w:rFonts w:ascii="Times New Roman" w:hAnsi="Times New Roman"/>
          <w:b/>
          <w:i/>
        </w:rPr>
        <w:t xml:space="preserve"> Параметра</w:t>
      </w:r>
      <w:r w:rsidRPr="00CF2E82">
        <w:rPr>
          <w:rFonts w:ascii="Times New Roman" w:hAnsi="Times New Roman"/>
        </w:rPr>
        <w:t xml:space="preserve">, в процентах. Определяется </w:t>
      </w:r>
      <w:r w:rsidRPr="00CF2E82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договор, который проводится в соответствии с пунктом 4.2 настоящего документа. Информация о величине </w:t>
      </w:r>
      <w:r w:rsidRPr="00CF2E82">
        <w:rPr>
          <w:rFonts w:ascii="Times New Roman" w:hAnsi="Times New Roman"/>
          <w:b/>
          <w:bCs/>
          <w:i/>
          <w:iCs/>
        </w:rPr>
        <w:t>Параметра</w:t>
      </w:r>
      <w:r w:rsidRPr="00CF2E82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46855E4C" w14:textId="77777777" w:rsidR="00CF2E82" w:rsidRPr="00CF2E82" w:rsidRDefault="00CF2E82" w:rsidP="00CF2E82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CF2E82">
        <w:rPr>
          <w:rFonts w:ascii="Times New Roman" w:hAnsi="Times New Roman"/>
          <w:b/>
          <w:i/>
          <w:lang w:val="en-US"/>
        </w:rPr>
        <w:t>n</w:t>
      </w:r>
      <w:r w:rsidRPr="00CF2E82">
        <w:rPr>
          <w:rFonts w:ascii="Times New Roman" w:hAnsi="Times New Roman"/>
          <w:color w:val="000000"/>
        </w:rPr>
        <w:t xml:space="preserve"> – </w:t>
      </w:r>
      <w:r w:rsidRPr="00CF2E82">
        <w:rPr>
          <w:rFonts w:ascii="Times New Roman" w:hAnsi="Times New Roman"/>
        </w:rPr>
        <w:t xml:space="preserve">величина, равная разнице между соответствующим номером Даты выплаты дополнительного дохода </w:t>
      </w:r>
      <w:r w:rsidRPr="00CF2E82">
        <w:rPr>
          <w:rFonts w:ascii="Times New Roman" w:hAnsi="Times New Roman"/>
          <w:i/>
          <w:lang w:val="en-US"/>
        </w:rPr>
        <w:t>j</w:t>
      </w:r>
      <w:r w:rsidRPr="00CF2E82">
        <w:rPr>
          <w:rFonts w:ascii="Times New Roman" w:hAnsi="Times New Roman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CF2E82">
        <w:rPr>
          <w:rFonts w:ascii="Times New Roman" w:hAnsi="Times New Roman"/>
          <w:lang w:val="en-US"/>
        </w:rPr>
        <w:t>n</w:t>
      </w:r>
      <w:r w:rsidRPr="00CF2E82">
        <w:rPr>
          <w:rFonts w:ascii="Times New Roman" w:hAnsi="Times New Roman"/>
        </w:rPr>
        <w:t xml:space="preserve"> принимается равной 1;</w:t>
      </w:r>
    </w:p>
    <w:p w14:paraId="057F6480" w14:textId="77777777" w:rsidR="00CF2E82" w:rsidRPr="00CF2E82" w:rsidRDefault="00CF2E82" w:rsidP="00CF2E82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CF2E82">
        <w:rPr>
          <w:rFonts w:ascii="Times New Roman" w:hAnsi="Times New Roman"/>
          <w:b/>
          <w:bCs/>
          <w:i/>
          <w:iCs/>
        </w:rPr>
        <w:t>j</w:t>
      </w:r>
      <w:r w:rsidRPr="00CF2E82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CF2E82">
        <w:rPr>
          <w:rFonts w:ascii="Times New Roman" w:hAnsi="Times New Roman"/>
          <w:b/>
          <w:i/>
        </w:rPr>
        <w:t>j</w:t>
      </w:r>
      <w:r w:rsidRPr="00CF2E82">
        <w:rPr>
          <w:rFonts w:ascii="Times New Roman" w:hAnsi="Times New Roman"/>
          <w:b/>
        </w:rPr>
        <w:t xml:space="preserve"> </w:t>
      </w:r>
      <w:r w:rsidRPr="00CF2E82">
        <w:rPr>
          <w:rFonts w:ascii="Times New Roman" w:hAnsi="Times New Roman"/>
        </w:rPr>
        <w:t xml:space="preserve">= 1, 2, 3, 4); </w:t>
      </w:r>
    </w:p>
    <w:p w14:paraId="033F42A5" w14:textId="77777777" w:rsidR="00CF2E82" w:rsidRPr="00CF2E82" w:rsidRDefault="00CF2E82" w:rsidP="00CF2E82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</w:rPr>
      </w:pPr>
      <w:r w:rsidRPr="00CF2E82">
        <w:rPr>
          <w:rFonts w:ascii="Times New Roman" w:hAnsi="Times New Roman"/>
          <w:b/>
          <w:i/>
          <w:lang w:val="en-US"/>
        </w:rPr>
        <w:t>i</w:t>
      </w:r>
      <w:r w:rsidRPr="00CF2E82">
        <w:rPr>
          <w:rFonts w:ascii="Times New Roman" w:hAnsi="Times New Roman"/>
          <w:color w:val="000000"/>
        </w:rPr>
        <w:t xml:space="preserve"> – порядковый номер Референсного актива (</w:t>
      </w:r>
      <w:r w:rsidRPr="00CF2E82">
        <w:rPr>
          <w:rFonts w:ascii="Times New Roman" w:hAnsi="Times New Roman"/>
          <w:b/>
          <w:i/>
          <w:color w:val="000000"/>
          <w:lang w:val="en-US"/>
        </w:rPr>
        <w:t>i</w:t>
      </w:r>
      <w:r w:rsidRPr="00CF2E82">
        <w:rPr>
          <w:rFonts w:ascii="Times New Roman" w:hAnsi="Times New Roman"/>
          <w:color w:val="000000"/>
        </w:rPr>
        <w:t xml:space="preserve">  = 1, 2, 3, 4);</w:t>
      </w:r>
    </w:p>
    <w:p w14:paraId="2CEC53A3" w14:textId="77777777" w:rsidR="00CF2E82" w:rsidRPr="00CF2E82" w:rsidRDefault="00CF2E82" w:rsidP="00CF2E82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CF2E82">
        <w:rPr>
          <w:rFonts w:ascii="Times New Roman" w:hAnsi="Times New Roman"/>
          <w:b/>
          <w:bCs/>
          <w:i/>
          <w:iCs/>
          <w:lang w:val="en-US"/>
        </w:rPr>
        <w:t>S</w:t>
      </w:r>
      <w:r w:rsidRPr="00CF2E82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CF2E82">
        <w:rPr>
          <w:rFonts w:ascii="Times New Roman" w:hAnsi="Times New Roman"/>
          <w:b/>
          <w:bCs/>
          <w:i/>
          <w:iCs/>
        </w:rPr>
        <w:t>(0)</w:t>
      </w:r>
      <w:r w:rsidRPr="00CF2E82">
        <w:rPr>
          <w:rFonts w:ascii="Times New Roman" w:hAnsi="Times New Roman"/>
          <w:bCs/>
          <w:i/>
          <w:iCs/>
        </w:rPr>
        <w:t xml:space="preserve"> </w:t>
      </w:r>
      <w:r w:rsidRPr="00CF2E82">
        <w:rPr>
          <w:rFonts w:ascii="Times New Roman" w:hAnsi="Times New Roman"/>
          <w:color w:val="000000"/>
        </w:rPr>
        <w:t>– цена закрытия Референсного актива (</w:t>
      </w:r>
      <w:r w:rsidRPr="00CF2E82">
        <w:rPr>
          <w:rFonts w:ascii="Times New Roman" w:hAnsi="Times New Roman"/>
          <w:i/>
          <w:color w:val="000000"/>
        </w:rPr>
        <w:t xml:space="preserve">i) </w:t>
      </w:r>
      <w:r w:rsidRPr="00CF2E82">
        <w:rPr>
          <w:rFonts w:ascii="Times New Roman" w:hAnsi="Times New Roman"/>
          <w:color w:val="00000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015167B1" w14:textId="77777777" w:rsidR="00CF2E82" w:rsidRPr="00CF2E82" w:rsidRDefault="00CF2E82" w:rsidP="00CF2E82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CF2E82">
        <w:rPr>
          <w:rFonts w:ascii="Times New Roman" w:hAnsi="Times New Roman"/>
          <w:b/>
          <w:bCs/>
          <w:i/>
          <w:iCs/>
          <w:lang w:val="en-US"/>
        </w:rPr>
        <w:t>S</w:t>
      </w:r>
      <w:r w:rsidRPr="00CF2E82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CF2E82">
        <w:rPr>
          <w:rFonts w:ascii="Times New Roman" w:hAnsi="Times New Roman"/>
          <w:b/>
          <w:bCs/>
          <w:i/>
          <w:iCs/>
        </w:rPr>
        <w:t>(</w:t>
      </w:r>
      <w:r w:rsidRPr="00CF2E82">
        <w:rPr>
          <w:rFonts w:ascii="Times New Roman" w:hAnsi="Times New Roman"/>
          <w:b/>
          <w:bCs/>
          <w:i/>
          <w:iCs/>
          <w:lang w:val="en-US"/>
        </w:rPr>
        <w:t>j</w:t>
      </w:r>
      <w:r w:rsidRPr="00CF2E82">
        <w:rPr>
          <w:rFonts w:ascii="Times New Roman" w:hAnsi="Times New Roman"/>
          <w:b/>
          <w:bCs/>
          <w:i/>
          <w:iCs/>
        </w:rPr>
        <w:t>)</w:t>
      </w:r>
      <w:r w:rsidRPr="00CF2E82">
        <w:rPr>
          <w:rFonts w:ascii="Times New Roman" w:hAnsi="Times New Roman"/>
          <w:color w:val="000000"/>
        </w:rPr>
        <w:t xml:space="preserve"> – цена закрытия Референсного актива (</w:t>
      </w:r>
      <w:r w:rsidRPr="00CF2E82">
        <w:rPr>
          <w:rFonts w:ascii="Times New Roman" w:hAnsi="Times New Roman"/>
          <w:i/>
          <w:color w:val="000000"/>
        </w:rPr>
        <w:t xml:space="preserve">i) </w:t>
      </w:r>
      <w:r w:rsidRPr="00CF2E82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CF2E82">
        <w:rPr>
          <w:rFonts w:ascii="Times New Roman" w:hAnsi="Times New Roman"/>
          <w:i/>
          <w:color w:val="000000"/>
        </w:rPr>
        <w:t>(</w:t>
      </w:r>
      <w:r w:rsidRPr="00CF2E82">
        <w:rPr>
          <w:rFonts w:ascii="Times New Roman" w:hAnsi="Times New Roman"/>
          <w:i/>
          <w:color w:val="000000"/>
          <w:lang w:val="en-US"/>
        </w:rPr>
        <w:t>j</w:t>
      </w:r>
      <w:r w:rsidRPr="00CF2E82">
        <w:rPr>
          <w:rFonts w:ascii="Times New Roman" w:hAnsi="Times New Roman"/>
          <w:i/>
          <w:color w:val="000000"/>
        </w:rPr>
        <w:t>)</w:t>
      </w:r>
      <w:r w:rsidRPr="00CF2E82">
        <w:rPr>
          <w:rFonts w:ascii="Times New Roman" w:hAnsi="Times New Roman"/>
          <w:color w:val="000000"/>
        </w:rPr>
        <w:t xml:space="preserve"> на соответствующей бирже Референсного актива в валюте Референсного актива. </w:t>
      </w:r>
    </w:p>
    <w:p w14:paraId="2B03A2C1" w14:textId="77777777" w:rsidR="00CF2E82" w:rsidRPr="00CF2E82" w:rsidRDefault="00CF2E82" w:rsidP="00CF2E82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</w:rPr>
      </w:pPr>
      <w:r w:rsidRPr="00CF2E82">
        <w:rPr>
          <w:rFonts w:ascii="Times New Roman" w:hAnsi="Times New Roman"/>
          <w:b/>
          <w:bCs/>
          <w:i/>
          <w:iCs/>
        </w:rPr>
        <w:t>Барьер(</w:t>
      </w:r>
      <w:r w:rsidRPr="00CF2E82">
        <w:rPr>
          <w:rFonts w:ascii="Times New Roman" w:hAnsi="Times New Roman"/>
          <w:b/>
          <w:bCs/>
          <w:i/>
          <w:iCs/>
          <w:lang w:val="en-US"/>
        </w:rPr>
        <w:t>j</w:t>
      </w:r>
      <w:r w:rsidRPr="00CF2E82">
        <w:rPr>
          <w:rFonts w:ascii="Times New Roman" w:hAnsi="Times New Roman"/>
          <w:b/>
          <w:bCs/>
          <w:i/>
          <w:iCs/>
        </w:rPr>
        <w:t>)</w:t>
      </w:r>
      <w:r w:rsidRPr="00CF2E82">
        <w:rPr>
          <w:rFonts w:ascii="Times New Roman" w:hAnsi="Times New Roman"/>
          <w:color w:val="000000"/>
        </w:rPr>
        <w:t xml:space="preserve"> – </w:t>
      </w:r>
      <w:r w:rsidRPr="00CF2E82">
        <w:rPr>
          <w:rFonts w:ascii="Times New Roman" w:hAnsi="Times New Roman"/>
          <w:bCs/>
          <w:iCs/>
        </w:rPr>
        <w:t>величина барьера, которая принимает следующие значения для соответствующей</w:t>
      </w:r>
      <w:r w:rsidRPr="00CF2E82">
        <w:rPr>
          <w:rFonts w:ascii="Times New Roman" w:hAnsi="Times New Roman"/>
          <w:bCs/>
          <w:i/>
          <w:iCs/>
        </w:rPr>
        <w:t xml:space="preserve"> Даты определения дополнительного дохода (</w:t>
      </w:r>
      <w:r w:rsidRPr="00CF2E82">
        <w:rPr>
          <w:rFonts w:ascii="Times New Roman" w:hAnsi="Times New Roman"/>
          <w:bCs/>
          <w:i/>
          <w:iCs/>
          <w:lang w:val="en-US"/>
        </w:rPr>
        <w:t>j</w:t>
      </w:r>
      <w:r w:rsidRPr="00CF2E82">
        <w:rPr>
          <w:rFonts w:ascii="Times New Roman" w:hAnsi="Times New Roman"/>
          <w:bCs/>
          <w:i/>
          <w:iCs/>
        </w:rPr>
        <w:t>)</w:t>
      </w:r>
      <w:r w:rsidRPr="00CF2E82">
        <w:rPr>
          <w:rFonts w:ascii="Times New Roman" w:hAnsi="Times New Roman"/>
          <w:bCs/>
          <w:iCs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CF2E82" w:rsidRPr="00CF2E82" w14:paraId="52ACB21F" w14:textId="77777777" w:rsidTr="00B52136">
        <w:trPr>
          <w:trHeight w:val="716"/>
        </w:trPr>
        <w:tc>
          <w:tcPr>
            <w:tcW w:w="4110" w:type="dxa"/>
          </w:tcPr>
          <w:p w14:paraId="45879B75" w14:textId="77777777" w:rsidR="00CF2E82" w:rsidRPr="00CF2E82" w:rsidRDefault="00CF2E82" w:rsidP="00B52136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CF2E82">
              <w:rPr>
                <w:rFonts w:ascii="Times New Roman" w:hAnsi="Times New Roman"/>
                <w:bCs/>
                <w:iCs/>
              </w:rPr>
              <w:t xml:space="preserve">Номер </w:t>
            </w:r>
            <w:r w:rsidRPr="00CF2E82">
              <w:rPr>
                <w:rFonts w:ascii="Times New Roman" w:hAnsi="Times New Roman"/>
                <w:bCs/>
                <w:i/>
                <w:iCs/>
              </w:rPr>
              <w:t>Даты определения дополнительного дохода (</w:t>
            </w:r>
            <w:r w:rsidRPr="00CF2E82">
              <w:rPr>
                <w:rFonts w:ascii="Times New Roman" w:hAnsi="Times New Roman"/>
                <w:bCs/>
                <w:i/>
                <w:iCs/>
                <w:lang w:val="en-US"/>
              </w:rPr>
              <w:t>j</w:t>
            </w:r>
            <w:r w:rsidRPr="00CF2E82"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  <w:tc>
          <w:tcPr>
            <w:tcW w:w="2977" w:type="dxa"/>
          </w:tcPr>
          <w:p w14:paraId="7E63B892" w14:textId="77777777" w:rsidR="00CF2E82" w:rsidRPr="00CF2E82" w:rsidRDefault="00CF2E82" w:rsidP="00B52136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CF2E82">
              <w:rPr>
                <w:rFonts w:ascii="Times New Roman" w:hAnsi="Times New Roman"/>
                <w:bCs/>
                <w:iCs/>
              </w:rPr>
              <w:t xml:space="preserve">Значение </w:t>
            </w:r>
            <w:r w:rsidRPr="00CF2E82">
              <w:rPr>
                <w:rFonts w:ascii="Times New Roman" w:hAnsi="Times New Roman"/>
                <w:b/>
                <w:bCs/>
                <w:i/>
                <w:iCs/>
              </w:rPr>
              <w:t>Барьера(</w:t>
            </w:r>
            <w:r w:rsidRPr="00CF2E82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j</w:t>
            </w:r>
            <w:r w:rsidRPr="00CF2E82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</w:tr>
      <w:tr w:rsidR="00CF2E82" w:rsidRPr="00CF2E82" w14:paraId="410D868C" w14:textId="77777777" w:rsidTr="00B52136">
        <w:trPr>
          <w:trHeight w:val="459"/>
        </w:trPr>
        <w:tc>
          <w:tcPr>
            <w:tcW w:w="4110" w:type="dxa"/>
          </w:tcPr>
          <w:p w14:paraId="463A3D7B" w14:textId="77777777" w:rsidR="00CF2E82" w:rsidRPr="00CF2E82" w:rsidRDefault="00CF2E82" w:rsidP="00B52136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CF2E82">
              <w:rPr>
                <w:rFonts w:ascii="Times New Roman" w:hAnsi="Times New Roman"/>
                <w:bCs/>
                <w:iCs/>
                <w:lang w:val="en-US"/>
              </w:rPr>
              <w:t>1, 2, 3, 4</w:t>
            </w:r>
          </w:p>
        </w:tc>
        <w:tc>
          <w:tcPr>
            <w:tcW w:w="2977" w:type="dxa"/>
          </w:tcPr>
          <w:p w14:paraId="435578F1" w14:textId="77777777" w:rsidR="00CF2E82" w:rsidRPr="00CF2E82" w:rsidRDefault="00CF2E82" w:rsidP="00B52136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CF2E82">
              <w:rPr>
                <w:rFonts w:ascii="Times New Roman" w:hAnsi="Times New Roman"/>
                <w:bCs/>
                <w:iCs/>
              </w:rPr>
              <w:t>98%</w:t>
            </w:r>
          </w:p>
        </w:tc>
      </w:tr>
    </w:tbl>
    <w:p w14:paraId="077E274C" w14:textId="77777777" w:rsidR="00CF2E82" w:rsidRPr="00CF2E82" w:rsidRDefault="00CF2E82" w:rsidP="00CF2E82">
      <w:pPr>
        <w:spacing w:before="120" w:after="120"/>
        <w:jc w:val="both"/>
        <w:rPr>
          <w:rFonts w:ascii="Times New Roman" w:hAnsi="Times New Roman"/>
        </w:rPr>
      </w:pPr>
      <w:r w:rsidRPr="00CF2E82">
        <w:rPr>
          <w:rFonts w:ascii="Times New Roman" w:hAnsi="Times New Roman"/>
          <w:b/>
          <w:bCs/>
          <w:i/>
          <w:iCs/>
        </w:rPr>
        <w:t>Торговый день</w:t>
      </w:r>
      <w:r w:rsidRPr="00CF2E82">
        <w:rPr>
          <w:rFonts w:ascii="Times New Roman" w:hAnsi="Times New Roman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0DB630A1" w14:textId="77777777" w:rsidR="00CF2E82" w:rsidRPr="00CF2E82" w:rsidRDefault="00CF2E82" w:rsidP="00CF2E82">
      <w:pPr>
        <w:widowControl w:val="0"/>
        <w:spacing w:before="120"/>
        <w:ind w:right="-1"/>
        <w:jc w:val="both"/>
        <w:rPr>
          <w:rFonts w:ascii="Times New Roman" w:hAnsi="Times New Roman"/>
          <w:bCs/>
          <w:iCs/>
        </w:rPr>
      </w:pPr>
      <w:r w:rsidRPr="00CF2E82">
        <w:rPr>
          <w:rFonts w:ascii="Times New Roman" w:hAnsi="Times New Roman"/>
          <w:b/>
          <w:bCs/>
          <w:i/>
          <w:iCs/>
        </w:rPr>
        <w:t>Дата определения</w:t>
      </w:r>
      <w:r w:rsidRPr="00CF2E82">
        <w:rPr>
          <w:rFonts w:ascii="Times New Roman" w:hAnsi="Times New Roman"/>
          <w:bCs/>
          <w:iCs/>
        </w:rPr>
        <w:t xml:space="preserve"> </w:t>
      </w:r>
      <w:r w:rsidRPr="00CF2E82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CF2E82">
        <w:rPr>
          <w:rFonts w:ascii="Times New Roman" w:hAnsi="Times New Roman"/>
          <w:color w:val="000000"/>
        </w:rPr>
        <w:t xml:space="preserve"> – 3</w:t>
      </w:r>
      <w:r w:rsidRPr="00CF2E82">
        <w:rPr>
          <w:rFonts w:ascii="Times New Roman" w:hAnsi="Times New Roman"/>
          <w:bCs/>
          <w:iCs/>
        </w:rPr>
        <w:t xml:space="preserve">-ий (третий) торговый день, предшествующий Дате выплаты дополнительного дохода. </w:t>
      </w:r>
      <w:r w:rsidRPr="00CF2E82">
        <w:rPr>
          <w:rFonts w:ascii="Times New Roman" w:hAnsi="Times New Roman"/>
          <w:color w:val="00000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217455CD" w14:textId="77777777" w:rsidR="00CF2E82" w:rsidRPr="00CF2E82" w:rsidRDefault="00CF2E82" w:rsidP="00CF2E82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</w:rPr>
      </w:pPr>
      <w:r w:rsidRPr="00CF2E82">
        <w:rPr>
          <w:rFonts w:ascii="Times New Roman" w:hAnsi="Times New Roman"/>
          <w:b/>
          <w:i/>
          <w:color w:val="000000"/>
        </w:rPr>
        <w:lastRenderedPageBreak/>
        <w:t>Референсные активы</w:t>
      </w:r>
      <w:r w:rsidRPr="00CF2E82">
        <w:rPr>
          <w:rFonts w:ascii="Times New Roman" w:hAnsi="Times New Roman"/>
          <w:color w:val="000000"/>
        </w:rPr>
        <w:t>: по одной обыкновенной акции следующих эмитентов со следующими характеристиками:</w:t>
      </w: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560"/>
        <w:gridCol w:w="1559"/>
        <w:gridCol w:w="992"/>
        <w:gridCol w:w="5528"/>
      </w:tblGrid>
      <w:tr w:rsidR="00CF2E82" w:rsidRPr="00CF2E82" w14:paraId="5493B3C7" w14:textId="77777777" w:rsidTr="00CF2E82">
        <w:trPr>
          <w:cantSplit/>
          <w:trHeight w:val="945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C4DA0" w14:textId="77777777" w:rsidR="00CF2E82" w:rsidRPr="00CF2E82" w:rsidRDefault="00CF2E82" w:rsidP="00B5213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AB6C8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317AE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Тикер Bloomberg (ISIN)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06653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3838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1. Биржа Референсного актива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2. Источник цены</w:t>
            </w:r>
          </w:p>
        </w:tc>
      </w:tr>
      <w:tr w:rsidR="00CF2E82" w:rsidRPr="00F2195C" w14:paraId="4C7EE5A9" w14:textId="77777777" w:rsidTr="00CF2E82">
        <w:trPr>
          <w:cantSplit/>
          <w:trHeight w:val="662"/>
          <w:tblHeader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C7D0" w14:textId="77777777" w:rsidR="00CF2E82" w:rsidRPr="00CF2E82" w:rsidRDefault="00CF2E82" w:rsidP="00B521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24D54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Facebook 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D7665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FB UQ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Equity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(US30303M1027)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3C33B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56D4C" w14:textId="77777777" w:rsidR="00CF2E82" w:rsidRPr="00CF2E82" w:rsidRDefault="00CF2E82" w:rsidP="00B52136">
            <w:pPr>
              <w:ind w:right="127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1. Служба автоматизированных котировок Национальной ассоциации дилеров по ценным бумагам 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NASDAQ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2. </w:t>
            </w:r>
            <w:hyperlink r:id="rId8" w:history="1">
              <w:r w:rsidRPr="00CF2E82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https://www.nasdaq.com/market-activity/stocks/fb/historical</w:t>
              </w:r>
            </w:hyperlink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Close/Last)</w:t>
            </w:r>
          </w:p>
        </w:tc>
      </w:tr>
      <w:tr w:rsidR="00CF2E82" w:rsidRPr="00F2195C" w14:paraId="59A6C8D4" w14:textId="77777777" w:rsidTr="00CF2E82">
        <w:trPr>
          <w:cantSplit/>
          <w:trHeight w:val="832"/>
          <w:tblHeader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D5132" w14:textId="77777777" w:rsidR="00CF2E82" w:rsidRPr="00CF2E82" w:rsidRDefault="00CF2E82" w:rsidP="00B521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0CBF9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Amazon.com 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DD02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AMZN UQ Equity  (US0231351067)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46F7E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FF7A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1. Служба автоматизированных котировок Национальной ассоциации дилеров по ценным бумагам 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NASDAQ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2. </w:t>
            </w:r>
            <w:hyperlink r:id="rId9" w:history="1">
              <w:r w:rsidRPr="00CF2E82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https://www.nasdaq.com/market-activity/stocks/amzn/historical</w:t>
              </w:r>
            </w:hyperlink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Close/Last)</w:t>
            </w:r>
          </w:p>
        </w:tc>
      </w:tr>
      <w:tr w:rsidR="00CF2E82" w:rsidRPr="00F2195C" w14:paraId="1D31C0F8" w14:textId="77777777" w:rsidTr="00CF2E82">
        <w:trPr>
          <w:cantSplit/>
          <w:trHeight w:val="560"/>
          <w:tblHeader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3613A" w14:textId="77777777" w:rsidR="00CF2E82" w:rsidRPr="00CF2E82" w:rsidRDefault="00CF2E82" w:rsidP="00B521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5E3B5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NetflixInc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D777C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NFLX UQ Equity  (US64110L1061)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DBCFE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83A4E" w14:textId="77777777" w:rsidR="00CF2E82" w:rsidRPr="00CF2E82" w:rsidRDefault="00CF2E82" w:rsidP="00B52136">
            <w:pPr>
              <w:ind w:right="127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1. Служба автоматизированных котировок Национальной ассоциации дилеров по ценным бумагам 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NASDAQ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2. </w:t>
            </w:r>
            <w:hyperlink r:id="rId10" w:history="1">
              <w:r w:rsidRPr="00CF2E82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https://www.nasdaq.com/market-activity/stocks/nflx/historical</w:t>
              </w:r>
            </w:hyperlink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Close/Last)</w:t>
            </w:r>
          </w:p>
        </w:tc>
      </w:tr>
      <w:tr w:rsidR="00CF2E82" w:rsidRPr="00F2195C" w14:paraId="7589EA5D" w14:textId="77777777" w:rsidTr="00CF2E82">
        <w:trPr>
          <w:cantSplit/>
          <w:trHeight w:val="945"/>
          <w:tblHeader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49CAC" w14:textId="77777777" w:rsidR="00CF2E82" w:rsidRPr="00CF2E82" w:rsidRDefault="00CF2E82" w:rsidP="00B521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B3D43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Alphabet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Inc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Class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A17D2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GOOG UQ Equity  (US02079K3059)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09D04" w14:textId="77777777" w:rsidR="00CF2E82" w:rsidRPr="00CF2E82" w:rsidRDefault="00CF2E82" w:rsidP="00B521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49877" w14:textId="77777777" w:rsidR="00CF2E82" w:rsidRPr="00CF2E82" w:rsidRDefault="00CF2E82" w:rsidP="00B52136">
            <w:pPr>
              <w:ind w:right="127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1. Служба автоматизированных котировок Национальной ассоциации дилеров по ценным бумагам 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NASDAQ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2. </w:t>
            </w:r>
            <w:hyperlink r:id="rId11" w:history="1">
              <w:r w:rsidRPr="00CF2E82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https://www.nasdaq.com/market-activity/stocks/googl/historical</w:t>
              </w:r>
            </w:hyperlink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  <w:r w:rsidRPr="00CF2E8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Close/Last)</w:t>
            </w:r>
          </w:p>
        </w:tc>
      </w:tr>
    </w:tbl>
    <w:p w14:paraId="46F0E985" w14:textId="77777777" w:rsidR="00CF2E82" w:rsidRPr="00CF2E82" w:rsidRDefault="00CF2E82" w:rsidP="00CF2E82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lang w:val="en-US"/>
        </w:rPr>
      </w:pPr>
    </w:p>
    <w:p w14:paraId="233B7759" w14:textId="77777777" w:rsidR="00CF2E82" w:rsidRPr="00CF2E82" w:rsidRDefault="00CF2E82" w:rsidP="00CF2E82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CF2E82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B5E579E" w14:textId="77777777" w:rsidR="00CF2E82" w:rsidRPr="00CF2E82" w:rsidRDefault="00CF2E82" w:rsidP="00CF2E82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CF2E82">
        <w:rPr>
          <w:rFonts w:ascii="Times New Roman" w:hAnsi="Times New Roman"/>
          <w:bCs/>
          <w:i/>
          <w:iCs/>
        </w:rPr>
        <w:t>ДД (руб.)</w:t>
      </w:r>
      <w:r w:rsidRPr="00CF2E82">
        <w:rPr>
          <w:rFonts w:ascii="Times New Roman" w:hAnsi="Times New Roman"/>
          <w:bCs/>
          <w:iCs/>
        </w:rPr>
        <w:t xml:space="preserve"> = </w:t>
      </w:r>
      <w:r w:rsidRPr="00CF2E82">
        <w:rPr>
          <w:rFonts w:ascii="Times New Roman" w:hAnsi="Times New Roman"/>
          <w:bCs/>
          <w:i/>
          <w:iCs/>
        </w:rPr>
        <w:t>Nom ×</w:t>
      </w:r>
      <w:r w:rsidRPr="00CF2E82">
        <w:rPr>
          <w:rFonts w:ascii="Times New Roman" w:hAnsi="Times New Roman"/>
          <w:i/>
        </w:rPr>
        <w:t xml:space="preserve"> </w:t>
      </w:r>
      <w:r w:rsidRPr="00CF2E82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CF2E82">
        <w:rPr>
          <w:rFonts w:ascii="Times New Roman" w:hAnsi="Times New Roman"/>
          <w:bCs/>
          <w:iCs/>
        </w:rPr>
        <w:t>, где</w:t>
      </w:r>
    </w:p>
    <w:p w14:paraId="2D540A69" w14:textId="77777777" w:rsidR="00CF2E82" w:rsidRPr="00CF2E82" w:rsidRDefault="00CF2E82" w:rsidP="00CF2E8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CF2E82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CF2E82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C2038F6" w14:textId="77777777" w:rsidR="00CF2E82" w:rsidRPr="00CF2E82" w:rsidRDefault="00CF2E82" w:rsidP="00CF2E8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CF2E82">
        <w:rPr>
          <w:rFonts w:ascii="Times New Roman" w:hAnsi="Times New Roman"/>
          <w:bCs/>
          <w:i/>
          <w:iCs/>
        </w:rPr>
        <w:t>Nom</w:t>
      </w:r>
      <w:r w:rsidRPr="00CF2E82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C136913" w14:textId="76F3A15A" w:rsidR="00CF2E82" w:rsidRPr="00CF2E82" w:rsidRDefault="00CF2E82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F2E82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A3BC723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A777B" w:rsidRPr="004A777B">
        <w:rPr>
          <w:rFonts w:ascii="Times New Roman" w:hAnsi="Times New Roman"/>
          <w:b/>
          <w:bCs/>
          <w:i/>
          <w:iCs/>
        </w:rPr>
        <w:t>728-ой (Семьсот двадцать восьмой)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CA60" w14:textId="77777777" w:rsidR="00252B12" w:rsidRDefault="00252B12" w:rsidP="0053664B">
      <w:pPr>
        <w:spacing w:after="0" w:line="240" w:lineRule="auto"/>
      </w:pPr>
      <w:r>
        <w:separator/>
      </w:r>
    </w:p>
  </w:endnote>
  <w:endnote w:type="continuationSeparator" w:id="0">
    <w:p w14:paraId="507129BB" w14:textId="77777777" w:rsidR="00252B12" w:rsidRDefault="00252B1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E10D56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F355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9FA3" w14:textId="77777777" w:rsidR="00252B12" w:rsidRDefault="00252B12" w:rsidP="0053664B">
      <w:pPr>
        <w:spacing w:after="0" w:line="240" w:lineRule="auto"/>
      </w:pPr>
      <w:r>
        <w:separator/>
      </w:r>
    </w:p>
  </w:footnote>
  <w:footnote w:type="continuationSeparator" w:id="0">
    <w:p w14:paraId="60906D9B" w14:textId="77777777" w:rsidR="00252B12" w:rsidRDefault="00252B1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1F3550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B12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0748EC3-D78A-4E9B-B7A0-E515A730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fb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googl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nflx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amzn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4416-72C4-4350-9DF0-F5B9DF12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5083</Words>
  <Characters>28976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2020-06-15T13:31:00Z</dcterms:created>
  <dcterms:modified xsi:type="dcterms:W3CDTF">2020-06-15T13:31:00Z</dcterms:modified>
</cp:coreProperties>
</file>