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C6C0C19" w:rsidR="00F4339C" w:rsidRPr="00C454FF" w:rsidRDefault="003A7BC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CE7360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3A7BC9" w:rsidRPr="003A7BC9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A376E" w:rsidRPr="002A3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A376E" w:rsidRPr="002A376E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89DF51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3A7BC9" w:rsidRPr="003A7BC9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249051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3A7BC9" w:rsidRPr="003A7BC9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51681" w:rsidRPr="00951681">
        <w:rPr>
          <w:b/>
          <w:i/>
          <w:sz w:val="22"/>
          <w:szCs w:val="22"/>
        </w:rPr>
        <w:t>11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7A568FF" w:rsidR="00610E7E" w:rsidRPr="00FC2AE6" w:rsidRDefault="002A37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214565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2A7DE1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07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3343AA0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999,90 (Девятьсот девяносто девять рублей девяносто копеек) за одну Биржевую облигацию, что соответствует 99,99 (Девяносто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целы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 и 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соты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B76A067" w14:textId="77777777" w:rsidR="00357B16" w:rsidRPr="00357B16" w:rsidRDefault="00357B16" w:rsidP="00357B1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357B16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357B16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357B16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0F4668F" w14:textId="77777777" w:rsidR="00357B16" w:rsidRPr="00357B16" w:rsidRDefault="00357B16" w:rsidP="00357B16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357B16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3, 4, 5, 6, 7</w:t>
      </w:r>
    </w:p>
    <w:p w14:paraId="4B0F5F4E" w14:textId="77777777" w:rsidR="00357B16" w:rsidRPr="00357B16" w:rsidRDefault="00357B16" w:rsidP="00357B16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357B16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27C807A2" w14:textId="77777777" w:rsidR="00357B16" w:rsidRPr="00357B16" w:rsidRDefault="00357B16" w:rsidP="00357B16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357B16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8</w:t>
      </w:r>
    </w:p>
    <w:p w14:paraId="3FD99297" w14:textId="77777777" w:rsidR="00357B16" w:rsidRPr="00357B16" w:rsidRDefault="00357B16" w:rsidP="00357B16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357B16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</m:t>
        </m:r>
        <m:func>
          <m:funcPr>
            <m:ctrlPr>
              <w:rPr>
                <w:rFonts w:ascii="Cambria Math" w:hAnsi="Cambria Math"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</w:rPr>
              <m:t>min</m:t>
            </m:r>
            <m:ctrlPr>
              <w:rPr>
                <w:rFonts w:ascii="Cambria Math" w:hAnsi="Cambria Math"/>
                <w:i/>
                <w:sz w:val="2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</w:rPr>
                  <m:t>max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j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0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2"/>
                      </w:rPr>
                      <m:t>-1;0</m:t>
                    </m:r>
                  </m:e>
                </m:d>
                <m:r>
                  <w:rPr>
                    <w:rFonts w:ascii="Cambria Math" w:hAnsi="Cambria Math"/>
                    <w:sz w:val="22"/>
                  </w:rPr>
                  <m:t>;44%</m:t>
                </m:r>
              </m:e>
            </m:d>
          </m:e>
        </m:func>
        <m:r>
          <w:rPr>
            <w:rFonts w:ascii="Cambria Math" w:hAnsi="Cambria Math"/>
            <w:sz w:val="22"/>
          </w:rPr>
          <m:t>*FX</m:t>
        </m:r>
      </m:oMath>
      <w:r w:rsidRPr="00357B16">
        <w:rPr>
          <w:rFonts w:ascii="Times New Roman" w:hAnsi="Times New Roman"/>
          <w:bCs/>
          <w:i/>
          <w:iCs/>
          <w:sz w:val="22"/>
        </w:rPr>
        <w:t>, где</w:t>
      </w:r>
    </w:p>
    <w:p w14:paraId="18D9824D" w14:textId="77777777" w:rsidR="00357B16" w:rsidRPr="00357B16" w:rsidRDefault="00357B16" w:rsidP="00357B16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357B16">
        <w:rPr>
          <w:rFonts w:ascii="Times New Roman" w:hAnsi="Times New Roman"/>
          <w:b/>
          <w:i/>
          <w:szCs w:val="20"/>
          <w:lang w:val="en-US"/>
        </w:rPr>
        <w:t>R</w:t>
      </w:r>
      <w:r w:rsidRPr="00357B16">
        <w:rPr>
          <w:rFonts w:ascii="Times New Roman" w:hAnsi="Times New Roman"/>
          <w:szCs w:val="20"/>
        </w:rPr>
        <w:t xml:space="preserve"> –</w:t>
      </w:r>
      <w:r w:rsidRPr="00357B16">
        <w:rPr>
          <w:rFonts w:ascii="Times New Roman" w:hAnsi="Times New Roman"/>
          <w:b/>
          <w:i/>
          <w:szCs w:val="20"/>
        </w:rPr>
        <w:t xml:space="preserve"> </w:t>
      </w:r>
      <w:r w:rsidRPr="00357B16">
        <w:rPr>
          <w:rFonts w:ascii="Times New Roman" w:hAnsi="Times New Roman"/>
          <w:szCs w:val="20"/>
        </w:rPr>
        <w:t>величина</w:t>
      </w:r>
      <w:r w:rsidRPr="00357B16">
        <w:rPr>
          <w:rFonts w:ascii="Times New Roman" w:hAnsi="Times New Roman"/>
          <w:b/>
          <w:i/>
          <w:szCs w:val="20"/>
        </w:rPr>
        <w:t xml:space="preserve"> Параметра</w:t>
      </w:r>
      <w:r w:rsidRPr="00357B16">
        <w:rPr>
          <w:rFonts w:ascii="Times New Roman" w:hAnsi="Times New Roman"/>
          <w:szCs w:val="20"/>
        </w:rPr>
        <w:t xml:space="preserve">, в процентах. Определяется </w:t>
      </w:r>
      <w:r w:rsidRPr="00357B16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357B16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357B16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B687679" w14:textId="77777777" w:rsidR="00357B16" w:rsidRPr="00357B16" w:rsidRDefault="00357B16" w:rsidP="00357B16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357B16">
        <w:rPr>
          <w:rFonts w:ascii="Times New Roman" w:hAnsi="Times New Roman"/>
          <w:b/>
          <w:bCs/>
          <w:i/>
          <w:iCs/>
          <w:szCs w:val="20"/>
        </w:rPr>
        <w:t>j</w:t>
      </w:r>
      <w:r w:rsidRPr="00357B16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357B16">
        <w:rPr>
          <w:rFonts w:ascii="Times New Roman" w:hAnsi="Times New Roman"/>
          <w:b/>
          <w:i/>
          <w:szCs w:val="20"/>
        </w:rPr>
        <w:t>j</w:t>
      </w:r>
      <w:r w:rsidRPr="00357B16">
        <w:rPr>
          <w:rFonts w:ascii="Times New Roman" w:hAnsi="Times New Roman"/>
          <w:b/>
          <w:szCs w:val="20"/>
        </w:rPr>
        <w:t xml:space="preserve"> </w:t>
      </w:r>
      <w:r w:rsidRPr="00357B16">
        <w:rPr>
          <w:rFonts w:ascii="Times New Roman" w:hAnsi="Times New Roman"/>
          <w:szCs w:val="20"/>
        </w:rPr>
        <w:t xml:space="preserve">= 1, 2, 3, 4, 5, 6, 7, 8); </w:t>
      </w:r>
    </w:p>
    <w:p w14:paraId="2195EA22" w14:textId="77777777" w:rsidR="00357B16" w:rsidRPr="00357B16" w:rsidRDefault="00357B16" w:rsidP="00357B16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357B16">
        <w:rPr>
          <w:rFonts w:ascii="Times New Roman" w:hAnsi="Times New Roman"/>
          <w:bCs/>
          <w:iCs/>
          <w:szCs w:val="20"/>
          <w:lang w:val="en-US"/>
        </w:rPr>
        <w:t>S</w:t>
      </w:r>
      <w:r w:rsidRPr="00357B16">
        <w:rPr>
          <w:rFonts w:ascii="Times New Roman" w:hAnsi="Times New Roman"/>
          <w:bCs/>
          <w:i/>
          <w:iCs/>
          <w:szCs w:val="20"/>
        </w:rPr>
        <w:t xml:space="preserve">(0) </w:t>
      </w:r>
      <w:r w:rsidRPr="00357B16">
        <w:rPr>
          <w:rFonts w:ascii="Times New Roman" w:hAnsi="Times New Roman"/>
          <w:color w:val="000000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0F43DCAB" w14:textId="77777777" w:rsidR="00357B16" w:rsidRPr="00357B16" w:rsidRDefault="00357B16" w:rsidP="00357B16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357B16">
        <w:rPr>
          <w:rFonts w:ascii="Times New Roman" w:hAnsi="Times New Roman"/>
          <w:bCs/>
          <w:iCs/>
          <w:szCs w:val="20"/>
          <w:lang w:val="en-US"/>
        </w:rPr>
        <w:t>S</w:t>
      </w:r>
      <w:r w:rsidRPr="00357B16">
        <w:rPr>
          <w:rFonts w:ascii="Times New Roman" w:hAnsi="Times New Roman"/>
          <w:bCs/>
          <w:i/>
          <w:iCs/>
          <w:szCs w:val="20"/>
        </w:rPr>
        <w:t>(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57B16">
        <w:rPr>
          <w:rFonts w:ascii="Times New Roman" w:hAnsi="Times New Roman"/>
          <w:bCs/>
          <w:i/>
          <w:iCs/>
          <w:szCs w:val="20"/>
        </w:rPr>
        <w:t>)</w:t>
      </w:r>
      <w:r w:rsidRPr="00357B16">
        <w:rPr>
          <w:rFonts w:ascii="Times New Roman" w:hAnsi="Times New Roman"/>
          <w:color w:val="000000"/>
          <w:szCs w:val="20"/>
        </w:rPr>
        <w:t xml:space="preserve"> – цена закрытия Референсного актива</w:t>
      </w:r>
      <w:r w:rsidRPr="00357B16">
        <w:rPr>
          <w:rFonts w:ascii="Times New Roman" w:hAnsi="Times New Roman"/>
          <w:i/>
          <w:color w:val="000000"/>
          <w:szCs w:val="20"/>
        </w:rPr>
        <w:t xml:space="preserve"> </w:t>
      </w:r>
      <w:r w:rsidRPr="00357B16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357B16">
        <w:rPr>
          <w:rFonts w:ascii="Times New Roman" w:hAnsi="Times New Roman"/>
          <w:i/>
          <w:color w:val="000000"/>
          <w:szCs w:val="20"/>
        </w:rPr>
        <w:t>(</w:t>
      </w:r>
      <w:r w:rsidRPr="00357B16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357B16">
        <w:rPr>
          <w:rFonts w:ascii="Times New Roman" w:hAnsi="Times New Roman"/>
          <w:i/>
          <w:color w:val="000000"/>
          <w:szCs w:val="20"/>
        </w:rPr>
        <w:t>)</w:t>
      </w:r>
      <w:r w:rsidRPr="00357B16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39753615" w14:textId="77777777" w:rsidR="00357B16" w:rsidRPr="00357B16" w:rsidRDefault="00357B16" w:rsidP="00357B16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/>
          <w:iCs/>
          <w:szCs w:val="20"/>
        </w:rPr>
      </w:pPr>
      <w:r w:rsidRPr="00357B16">
        <w:rPr>
          <w:rFonts w:ascii="Times New Roman" w:hAnsi="Times New Roman"/>
          <w:b/>
          <w:i/>
          <w:color w:val="000000"/>
          <w:szCs w:val="20"/>
          <w:lang w:val="en-US"/>
        </w:rPr>
        <w:t>FX</w:t>
      </w:r>
      <w:r w:rsidRPr="00357B16">
        <w:rPr>
          <w:rFonts w:ascii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57B16">
        <w:rPr>
          <w:rFonts w:ascii="Times New Roman" w:hAnsi="Times New Roman"/>
          <w:bCs/>
          <w:i/>
          <w:iCs/>
          <w:szCs w:val="20"/>
        </w:rPr>
        <w:t>(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57B16">
        <w:rPr>
          <w:rFonts w:ascii="Times New Roman" w:hAnsi="Times New Roman"/>
          <w:bCs/>
          <w:i/>
          <w:iCs/>
          <w:szCs w:val="20"/>
        </w:rPr>
        <w:t>)/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57B16">
        <w:rPr>
          <w:rFonts w:ascii="Times New Roman" w:hAnsi="Times New Roman"/>
          <w:bCs/>
          <w:i/>
          <w:iCs/>
          <w:szCs w:val="20"/>
        </w:rPr>
        <w:t xml:space="preserve">(0), </w:t>
      </w:r>
      <w:r w:rsidRPr="00357B16">
        <w:rPr>
          <w:rFonts w:ascii="Times New Roman" w:hAnsi="Times New Roman"/>
          <w:bCs/>
          <w:iCs/>
          <w:szCs w:val="20"/>
        </w:rPr>
        <w:t>где:</w:t>
      </w:r>
    </w:p>
    <w:p w14:paraId="60A892AD" w14:textId="77777777" w:rsidR="00357B16" w:rsidRPr="00357B16" w:rsidRDefault="00357B16" w:rsidP="00357B16">
      <w:pPr>
        <w:keepNext/>
        <w:autoSpaceDE w:val="0"/>
        <w:autoSpaceDN w:val="0"/>
        <w:spacing w:before="120" w:after="120"/>
        <w:ind w:left="708" w:right="142"/>
        <w:jc w:val="both"/>
        <w:rPr>
          <w:rFonts w:ascii="Times New Roman" w:hAnsi="Times New Roman"/>
          <w:bCs/>
          <w:i/>
          <w:iCs/>
          <w:szCs w:val="20"/>
        </w:rPr>
      </w:pPr>
      <w:r w:rsidRPr="00357B16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57B16">
        <w:rPr>
          <w:rFonts w:ascii="Times New Roman" w:hAnsi="Times New Roman"/>
          <w:bCs/>
          <w:i/>
          <w:iCs/>
          <w:szCs w:val="20"/>
        </w:rPr>
        <w:t>(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57B16">
        <w:rPr>
          <w:rFonts w:ascii="Times New Roman" w:hAnsi="Times New Roman"/>
          <w:bCs/>
          <w:i/>
          <w:iCs/>
          <w:szCs w:val="20"/>
        </w:rPr>
        <w:t xml:space="preserve">) – </w:t>
      </w:r>
      <w:r w:rsidRPr="00357B16">
        <w:rPr>
          <w:rFonts w:ascii="Times New Roman" w:hAnsi="Times New Roman"/>
          <w:szCs w:val="20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357B16">
        <w:rPr>
          <w:rFonts w:ascii="Times New Roman" w:hAnsi="Times New Roman"/>
          <w:i/>
          <w:szCs w:val="20"/>
          <w:lang w:val="en-US"/>
        </w:rPr>
        <w:t>j</w:t>
      </w:r>
      <w:r w:rsidRPr="00357B16">
        <w:rPr>
          <w:rFonts w:ascii="Times New Roman" w:hAnsi="Times New Roman"/>
          <w:i/>
          <w:szCs w:val="20"/>
        </w:rPr>
        <w:t>)</w:t>
      </w:r>
      <w:r w:rsidRPr="00357B16">
        <w:rPr>
          <w:rFonts w:ascii="Times New Roman" w:hAnsi="Times New Roman"/>
          <w:szCs w:val="20"/>
        </w:rPr>
        <w:t>;</w:t>
      </w:r>
    </w:p>
    <w:p w14:paraId="3E0FE8E4" w14:textId="77777777" w:rsidR="00357B16" w:rsidRPr="00357B16" w:rsidRDefault="00357B16" w:rsidP="00357B16">
      <w:pPr>
        <w:keepNext/>
        <w:autoSpaceDE w:val="0"/>
        <w:autoSpaceDN w:val="0"/>
        <w:spacing w:before="120" w:after="120"/>
        <w:ind w:left="708" w:right="142"/>
        <w:jc w:val="both"/>
        <w:rPr>
          <w:rFonts w:ascii="Times New Roman" w:hAnsi="Times New Roman"/>
          <w:color w:val="000000"/>
          <w:szCs w:val="20"/>
        </w:rPr>
      </w:pPr>
      <w:r w:rsidRPr="00357B16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57B16">
        <w:rPr>
          <w:rFonts w:ascii="Times New Roman" w:hAnsi="Times New Roman"/>
          <w:bCs/>
          <w:i/>
          <w:iCs/>
          <w:szCs w:val="20"/>
        </w:rPr>
        <w:t xml:space="preserve">(0) – </w:t>
      </w:r>
      <w:r w:rsidRPr="00357B16">
        <w:rPr>
          <w:rFonts w:ascii="Times New Roman" w:hAnsi="Times New Roman"/>
          <w:szCs w:val="20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036637D7" w14:textId="77777777" w:rsidR="00357B16" w:rsidRPr="00357B16" w:rsidRDefault="00357B16" w:rsidP="00357B16">
      <w:pPr>
        <w:spacing w:before="120" w:after="120"/>
        <w:jc w:val="both"/>
        <w:rPr>
          <w:rFonts w:ascii="Times New Roman" w:hAnsi="Times New Roman"/>
          <w:szCs w:val="20"/>
        </w:rPr>
      </w:pPr>
      <w:r w:rsidRPr="00357B16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357B16">
        <w:rPr>
          <w:rFonts w:ascii="Times New Roman" w:hAnsi="Times New Roman"/>
          <w:szCs w:val="20"/>
        </w:rPr>
        <w:t xml:space="preserve"> – каждый день, в который осуществляются торги с Референсным активом на соответствующей Биржей Референсного актива.</w:t>
      </w:r>
    </w:p>
    <w:p w14:paraId="51DF0088" w14:textId="3ED9EED2" w:rsidR="00357B16" w:rsidRPr="00357B16" w:rsidRDefault="00357B16" w:rsidP="00357B16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357B16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357B16">
        <w:rPr>
          <w:rFonts w:ascii="Times New Roman" w:hAnsi="Times New Roman"/>
          <w:bCs/>
          <w:iCs/>
          <w:szCs w:val="20"/>
        </w:rPr>
        <w:t xml:space="preserve"> </w:t>
      </w:r>
      <w:r w:rsidRPr="00357B16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357B16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357B16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73243A91" w14:textId="77777777" w:rsidR="00357B16" w:rsidRPr="00357B16" w:rsidRDefault="00357B16" w:rsidP="00357B16">
      <w:pPr>
        <w:autoSpaceDE w:val="0"/>
        <w:autoSpaceDN w:val="0"/>
        <w:spacing w:after="120"/>
        <w:jc w:val="both"/>
        <w:rPr>
          <w:rFonts w:ascii="Times New Roman" w:hAnsi="Times New Roman"/>
          <w:b/>
          <w:bCs/>
          <w:color w:val="000000"/>
          <w:szCs w:val="20"/>
        </w:rPr>
      </w:pPr>
      <w:r w:rsidRPr="00357B16">
        <w:rPr>
          <w:rFonts w:ascii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357B16" w:rsidRPr="002A376E" w14:paraId="0F6CA9E1" w14:textId="77777777" w:rsidTr="002D0699">
        <w:tc>
          <w:tcPr>
            <w:tcW w:w="2830" w:type="dxa"/>
          </w:tcPr>
          <w:p w14:paraId="4FE7D2B9" w14:textId="77777777" w:rsidR="00357B16" w:rsidRPr="00357B16" w:rsidRDefault="00357B16" w:rsidP="002D069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515" w:type="dxa"/>
          </w:tcPr>
          <w:p w14:paraId="0B8BDB67" w14:textId="77777777" w:rsidR="00357B16" w:rsidRPr="00357B16" w:rsidRDefault="00357B16" w:rsidP="002D069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SPDR S&amp;P 500 ETF TRUST</w:t>
            </w:r>
          </w:p>
        </w:tc>
      </w:tr>
      <w:tr w:rsidR="00357B16" w:rsidRPr="00357B16" w14:paraId="09211761" w14:textId="77777777" w:rsidTr="002D0699">
        <w:tc>
          <w:tcPr>
            <w:tcW w:w="2830" w:type="dxa"/>
          </w:tcPr>
          <w:p w14:paraId="56BDDDB3" w14:textId="77777777" w:rsidR="00357B16" w:rsidRPr="00357B16" w:rsidRDefault="00357B16" w:rsidP="002D069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Тикер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GB"/>
              </w:rPr>
              <w:t xml:space="preserve"> Bloomberg</w:t>
            </w:r>
          </w:p>
        </w:tc>
        <w:tc>
          <w:tcPr>
            <w:tcW w:w="6515" w:type="dxa"/>
          </w:tcPr>
          <w:p w14:paraId="4CEF0860" w14:textId="77777777" w:rsidR="00357B16" w:rsidRPr="00357B16" w:rsidRDefault="00357B16" w:rsidP="002D069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GB"/>
              </w:rPr>
              <w:t>SPY UN Equity</w:t>
            </w:r>
          </w:p>
        </w:tc>
      </w:tr>
      <w:tr w:rsidR="00357B16" w:rsidRPr="00357B16" w14:paraId="74472714" w14:textId="77777777" w:rsidTr="002D0699">
        <w:tc>
          <w:tcPr>
            <w:tcW w:w="2830" w:type="dxa"/>
          </w:tcPr>
          <w:p w14:paraId="558AA92C" w14:textId="77777777" w:rsidR="00357B16" w:rsidRPr="00357B16" w:rsidRDefault="00357B16" w:rsidP="002D069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6515" w:type="dxa"/>
          </w:tcPr>
          <w:p w14:paraId="4388DB05" w14:textId="77777777" w:rsidR="00357B16" w:rsidRPr="00357B16" w:rsidRDefault="00357B16" w:rsidP="002D069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US78462F1030 </w:t>
            </w:r>
          </w:p>
        </w:tc>
      </w:tr>
      <w:tr w:rsidR="00357B16" w:rsidRPr="00357B16" w14:paraId="508C927E" w14:textId="77777777" w:rsidTr="002D0699">
        <w:tc>
          <w:tcPr>
            <w:tcW w:w="2830" w:type="dxa"/>
          </w:tcPr>
          <w:p w14:paraId="68B3296B" w14:textId="77777777" w:rsidR="00357B16" w:rsidRPr="00357B16" w:rsidRDefault="00357B16" w:rsidP="002D069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Валюта</w:t>
            </w:r>
          </w:p>
        </w:tc>
        <w:tc>
          <w:tcPr>
            <w:tcW w:w="6515" w:type="dxa"/>
          </w:tcPr>
          <w:p w14:paraId="3C48D127" w14:textId="77777777" w:rsidR="00357B16" w:rsidRPr="00357B16" w:rsidRDefault="00357B16" w:rsidP="002D069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Доллар США</w:t>
            </w:r>
          </w:p>
        </w:tc>
      </w:tr>
      <w:tr w:rsidR="00357B16" w:rsidRPr="002A376E" w14:paraId="450394C7" w14:textId="77777777" w:rsidTr="002D0699">
        <w:tc>
          <w:tcPr>
            <w:tcW w:w="2830" w:type="dxa"/>
          </w:tcPr>
          <w:p w14:paraId="3BDCD6FF" w14:textId="77777777" w:rsidR="00357B16" w:rsidRPr="00357B16" w:rsidRDefault="00357B16" w:rsidP="002D069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Биржа</w:t>
            </w:r>
          </w:p>
        </w:tc>
        <w:tc>
          <w:tcPr>
            <w:tcW w:w="6515" w:type="dxa"/>
          </w:tcPr>
          <w:p w14:paraId="2230CBB5" w14:textId="77777777" w:rsidR="00357B16" w:rsidRPr="00357B16" w:rsidRDefault="00357B16" w:rsidP="002D069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Нью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-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Йоркская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фондовая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биржа</w:t>
            </w:r>
            <w:r w:rsidRPr="00357B16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(New Your Stock Exchange)</w:t>
            </w:r>
          </w:p>
        </w:tc>
      </w:tr>
      <w:tr w:rsidR="00357B16" w:rsidRPr="00357B16" w14:paraId="3440D5A6" w14:textId="77777777" w:rsidTr="002D0699">
        <w:tc>
          <w:tcPr>
            <w:tcW w:w="2830" w:type="dxa"/>
          </w:tcPr>
          <w:p w14:paraId="356F6EB6" w14:textId="77777777" w:rsidR="00357B16" w:rsidRPr="00357B16" w:rsidRDefault="00357B16" w:rsidP="002D0699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57B16">
              <w:rPr>
                <w:rFonts w:ascii="Times New Roman" w:hAnsi="Times New Roman" w:cs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6515" w:type="dxa"/>
          </w:tcPr>
          <w:p w14:paraId="0EF6FC7C" w14:textId="77777777" w:rsidR="00357B16" w:rsidRPr="00357B16" w:rsidRDefault="003E0D97" w:rsidP="002D069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</w:rPr>
            </w:pPr>
            <w:hyperlink r:id="rId8" w:history="1">
              <w:r w:rsidR="00357B16" w:rsidRPr="00357B16">
                <w:rPr>
                  <w:rStyle w:val="a6"/>
                  <w:rFonts w:ascii="Times New Roman" w:hAnsi="Times New Roman"/>
                  <w:szCs w:val="20"/>
                </w:rPr>
                <w:t>https://www.nyse.com/quote/ARCX:SPY</w:t>
              </w:r>
            </w:hyperlink>
            <w:r w:rsidR="00357B16" w:rsidRPr="00357B16">
              <w:rPr>
                <w:rFonts w:ascii="Times New Roman" w:hAnsi="Times New Roman" w:cs="Times New Roman"/>
                <w:color w:val="000000"/>
                <w:szCs w:val="20"/>
              </w:rPr>
              <w:t xml:space="preserve"> (значение </w:t>
            </w:r>
            <w:r w:rsidR="00357B16" w:rsidRPr="00357B16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Close</w:t>
            </w:r>
            <w:r w:rsidR="00357B16" w:rsidRPr="00357B1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</w:tr>
    </w:tbl>
    <w:p w14:paraId="5CF2F9A0" w14:textId="77777777" w:rsidR="00357B16" w:rsidRPr="002A376E" w:rsidRDefault="00357B16" w:rsidP="00357B16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</w:p>
    <w:p w14:paraId="2564C543" w14:textId="77777777" w:rsidR="00357B16" w:rsidRPr="00357B16" w:rsidRDefault="00357B16" w:rsidP="00357B16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357B16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5F058A2" w14:textId="77777777" w:rsidR="00357B16" w:rsidRPr="00357B16" w:rsidRDefault="00357B16" w:rsidP="00357B16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357B16">
        <w:rPr>
          <w:rFonts w:ascii="Times New Roman" w:hAnsi="Times New Roman"/>
          <w:bCs/>
          <w:i/>
          <w:iCs/>
          <w:szCs w:val="20"/>
        </w:rPr>
        <w:t>ДД (руб.)</w:t>
      </w:r>
      <w:r w:rsidRPr="00357B16">
        <w:rPr>
          <w:rFonts w:ascii="Times New Roman" w:hAnsi="Times New Roman"/>
          <w:bCs/>
          <w:iCs/>
          <w:szCs w:val="20"/>
        </w:rPr>
        <w:t xml:space="preserve"> = </w:t>
      </w:r>
      <w:r w:rsidRPr="00357B16">
        <w:rPr>
          <w:rFonts w:ascii="Times New Roman" w:hAnsi="Times New Roman"/>
          <w:bCs/>
          <w:i/>
          <w:iCs/>
          <w:szCs w:val="20"/>
        </w:rPr>
        <w:t>Nom ×</w:t>
      </w:r>
      <w:r w:rsidRPr="00357B16">
        <w:rPr>
          <w:rFonts w:ascii="Times New Roman" w:hAnsi="Times New Roman"/>
          <w:i/>
          <w:szCs w:val="20"/>
        </w:rPr>
        <w:t xml:space="preserve"> </w:t>
      </w:r>
      <w:r w:rsidRPr="00357B16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57B16">
        <w:rPr>
          <w:rFonts w:ascii="Times New Roman" w:hAnsi="Times New Roman"/>
          <w:bCs/>
          <w:i/>
          <w:iCs/>
          <w:szCs w:val="20"/>
        </w:rPr>
        <w:t>)</w:t>
      </w:r>
      <w:r w:rsidRPr="00357B16">
        <w:rPr>
          <w:rFonts w:ascii="Times New Roman" w:hAnsi="Times New Roman"/>
          <w:bCs/>
          <w:iCs/>
          <w:szCs w:val="20"/>
        </w:rPr>
        <w:t>, где</w:t>
      </w:r>
    </w:p>
    <w:p w14:paraId="108508A9" w14:textId="77777777" w:rsidR="00357B16" w:rsidRPr="00357B16" w:rsidRDefault="00357B16" w:rsidP="00357B1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357B16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357B16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57B16">
        <w:rPr>
          <w:rFonts w:ascii="Times New Roman" w:hAnsi="Times New Roman"/>
          <w:bCs/>
          <w:i/>
          <w:iCs/>
          <w:szCs w:val="20"/>
        </w:rPr>
        <w:t>)</w:t>
      </w:r>
      <w:r w:rsidRPr="00357B16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AA9EBA6" w14:textId="77777777" w:rsidR="00357B16" w:rsidRPr="00357B16" w:rsidRDefault="00357B16" w:rsidP="00357B1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357B16">
        <w:rPr>
          <w:rFonts w:ascii="Times New Roman" w:hAnsi="Times New Roman"/>
          <w:bCs/>
          <w:i/>
          <w:iCs/>
          <w:szCs w:val="20"/>
        </w:rPr>
        <w:t>Nom</w:t>
      </w:r>
      <w:r w:rsidRPr="00357B16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43C2183F" w:rsidR="00357B16" w:rsidRPr="00357B16" w:rsidRDefault="00357B16" w:rsidP="00357B1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357B16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4A04B863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848C9" w:rsidRPr="004848C9">
        <w:rPr>
          <w:rFonts w:ascii="Times New Roman" w:hAnsi="Times New Roman"/>
          <w:b/>
          <w:bCs/>
          <w:i/>
          <w:iCs/>
        </w:rPr>
        <w:t>1</w:t>
      </w:r>
      <w:r w:rsidR="004848C9">
        <w:rPr>
          <w:rFonts w:ascii="Times New Roman" w:hAnsi="Times New Roman"/>
          <w:b/>
          <w:bCs/>
          <w:i/>
          <w:iCs/>
        </w:rPr>
        <w:t> 456</w:t>
      </w:r>
      <w:r w:rsidR="004848C9" w:rsidRPr="004848C9">
        <w:rPr>
          <w:rFonts w:ascii="Times New Roman" w:hAnsi="Times New Roman"/>
          <w:b/>
          <w:bCs/>
          <w:i/>
          <w:iCs/>
        </w:rPr>
        <w:t>-ой (Одна тысяча четыреста пятьдесят шестой)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96065" w14:textId="77777777" w:rsidR="003E0D97" w:rsidRDefault="003E0D97" w:rsidP="0053664B">
      <w:pPr>
        <w:spacing w:after="0" w:line="240" w:lineRule="auto"/>
      </w:pPr>
      <w:r>
        <w:separator/>
      </w:r>
    </w:p>
  </w:endnote>
  <w:endnote w:type="continuationSeparator" w:id="0">
    <w:p w14:paraId="2BBAE1DE" w14:textId="77777777" w:rsidR="003E0D97" w:rsidRDefault="003E0D9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7521C8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7386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338D0" w14:textId="77777777" w:rsidR="003E0D97" w:rsidRDefault="003E0D97" w:rsidP="0053664B">
      <w:pPr>
        <w:spacing w:after="0" w:line="240" w:lineRule="auto"/>
      </w:pPr>
      <w:r>
        <w:separator/>
      </w:r>
    </w:p>
  </w:footnote>
  <w:footnote w:type="continuationSeparator" w:id="0">
    <w:p w14:paraId="6EF39735" w14:textId="77777777" w:rsidR="003E0D97" w:rsidRDefault="003E0D9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386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0D97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36A6637-7B47-44E0-8B83-E304D54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ARCX:SPY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5311-2B52-49BA-96C5-F125255F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4885</Words>
  <Characters>27845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2020-07-06T10:28:00Z</dcterms:created>
  <dcterms:modified xsi:type="dcterms:W3CDTF">2020-07-06T10:28:00Z</dcterms:modified>
</cp:coreProperties>
</file>