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2A66E7" w14:textId="77777777" w:rsidR="00B31A2E" w:rsidRDefault="00B31A2E" w:rsidP="00B31A2E">
      <w:pPr>
        <w:autoSpaceDE w:val="0"/>
        <w:autoSpaceDN w:val="0"/>
        <w:adjustRightInd w:val="0"/>
        <w:spacing w:after="240" w:line="240" w:lineRule="auto"/>
        <w:jc w:val="center"/>
        <w:rPr>
          <w:rFonts w:ascii="Times New Roman" w:hAnsi="Times New Roman" w:cs="Times New Roman"/>
          <w:sz w:val="28"/>
          <w:szCs w:val="28"/>
        </w:rPr>
      </w:pPr>
      <w:bookmarkStart w:id="0" w:name="_GoBack"/>
      <w:bookmarkEnd w:id="0"/>
    </w:p>
    <w:p w14:paraId="42BA8695" w14:textId="77777777" w:rsidR="00B31A2E" w:rsidRDefault="00B31A2E" w:rsidP="00B31A2E">
      <w:pPr>
        <w:autoSpaceDE w:val="0"/>
        <w:autoSpaceDN w:val="0"/>
        <w:adjustRightInd w:val="0"/>
        <w:spacing w:after="240" w:line="240" w:lineRule="auto"/>
        <w:jc w:val="center"/>
        <w:rPr>
          <w:rFonts w:ascii="Times New Roman" w:hAnsi="Times New Roman" w:cs="Times New Roman"/>
          <w:sz w:val="28"/>
          <w:szCs w:val="28"/>
        </w:rPr>
      </w:pPr>
    </w:p>
    <w:p w14:paraId="08C9D3BB" w14:textId="77777777" w:rsidR="00B31A2E" w:rsidRDefault="00B31A2E" w:rsidP="00B31A2E">
      <w:pPr>
        <w:autoSpaceDE w:val="0"/>
        <w:autoSpaceDN w:val="0"/>
        <w:adjustRightInd w:val="0"/>
        <w:spacing w:after="240" w:line="240" w:lineRule="auto"/>
        <w:jc w:val="center"/>
        <w:rPr>
          <w:rFonts w:ascii="Times New Roman" w:hAnsi="Times New Roman" w:cs="Times New Roman"/>
          <w:sz w:val="28"/>
          <w:szCs w:val="28"/>
        </w:rPr>
      </w:pPr>
    </w:p>
    <w:p w14:paraId="41CC58FE" w14:textId="77777777" w:rsidR="00B31A2E" w:rsidRDefault="00B31A2E" w:rsidP="00B31A2E">
      <w:pPr>
        <w:autoSpaceDE w:val="0"/>
        <w:autoSpaceDN w:val="0"/>
        <w:adjustRightInd w:val="0"/>
        <w:spacing w:after="240" w:line="240" w:lineRule="auto"/>
        <w:jc w:val="center"/>
        <w:rPr>
          <w:rFonts w:ascii="Times New Roman" w:hAnsi="Times New Roman" w:cs="Times New Roman"/>
          <w:sz w:val="28"/>
          <w:szCs w:val="28"/>
        </w:rPr>
      </w:pPr>
    </w:p>
    <w:p w14:paraId="1108586C" w14:textId="7CC39F6E" w:rsidR="00DF213F" w:rsidRPr="00D128CB" w:rsidRDefault="00DF213F" w:rsidP="00B31A2E">
      <w:pPr>
        <w:autoSpaceDE w:val="0"/>
        <w:autoSpaceDN w:val="0"/>
        <w:adjustRightInd w:val="0"/>
        <w:spacing w:after="240" w:line="240" w:lineRule="auto"/>
        <w:jc w:val="center"/>
        <w:rPr>
          <w:rFonts w:ascii="Times New Roman" w:hAnsi="Times New Roman" w:cs="Times New Roman"/>
          <w:b/>
          <w:sz w:val="28"/>
          <w:szCs w:val="28"/>
        </w:rPr>
      </w:pPr>
      <w:r w:rsidRPr="00D128CB">
        <w:rPr>
          <w:rFonts w:ascii="Times New Roman" w:hAnsi="Times New Roman" w:cs="Times New Roman"/>
          <w:b/>
          <w:sz w:val="28"/>
          <w:szCs w:val="28"/>
        </w:rPr>
        <w:t xml:space="preserve">ДОКУМЕНТ, СОДЕРЖАЩИЙ УСЛОВИЯ РАЗМЕЩЕНИЯ </w:t>
      </w:r>
      <w:r w:rsidR="00E8510B" w:rsidRPr="00D128CB">
        <w:rPr>
          <w:rFonts w:ascii="Times New Roman" w:hAnsi="Times New Roman" w:cs="Times New Roman"/>
          <w:b/>
          <w:sz w:val="28"/>
          <w:szCs w:val="28"/>
        </w:rPr>
        <w:br/>
      </w:r>
      <w:r w:rsidRPr="00D128CB">
        <w:rPr>
          <w:rFonts w:ascii="Times New Roman" w:hAnsi="Times New Roman" w:cs="Times New Roman"/>
          <w:b/>
          <w:sz w:val="28"/>
          <w:szCs w:val="28"/>
        </w:rPr>
        <w:t>ЦЕННЫХ БУМАГ</w:t>
      </w:r>
    </w:p>
    <w:p w14:paraId="577EDA9E" w14:textId="77777777" w:rsidR="00B31A2E" w:rsidRPr="00D128CB" w:rsidRDefault="00B31A2E" w:rsidP="00B31A2E">
      <w:pPr>
        <w:autoSpaceDE w:val="0"/>
        <w:autoSpaceDN w:val="0"/>
        <w:adjustRightInd w:val="0"/>
        <w:spacing w:after="240" w:line="240" w:lineRule="auto"/>
        <w:jc w:val="center"/>
        <w:rPr>
          <w:rFonts w:ascii="Times New Roman" w:eastAsia="Calibri" w:hAnsi="Times New Roman" w:cs="Times New Roman"/>
          <w:b/>
          <w:sz w:val="28"/>
          <w:szCs w:val="24"/>
        </w:rPr>
      </w:pPr>
    </w:p>
    <w:p w14:paraId="24605B3A" w14:textId="73B9142D" w:rsidR="0062549F" w:rsidRPr="00D128CB" w:rsidRDefault="002517C3" w:rsidP="002517C3">
      <w:pPr>
        <w:autoSpaceDE w:val="0"/>
        <w:autoSpaceDN w:val="0"/>
        <w:adjustRightInd w:val="0"/>
        <w:spacing w:after="240" w:line="240" w:lineRule="auto"/>
        <w:jc w:val="center"/>
        <w:rPr>
          <w:rFonts w:ascii="Times New Roman" w:eastAsia="Calibri" w:hAnsi="Times New Roman" w:cs="Times New Roman"/>
          <w:b/>
          <w:sz w:val="28"/>
          <w:szCs w:val="24"/>
        </w:rPr>
      </w:pPr>
      <w:r w:rsidRPr="002517C3">
        <w:rPr>
          <w:rFonts w:ascii="Times New Roman" w:eastAsia="Calibri" w:hAnsi="Times New Roman" w:cs="Times New Roman"/>
          <w:b/>
          <w:sz w:val="28"/>
          <w:szCs w:val="24"/>
        </w:rPr>
        <w:t>Общество с ограниченной ответственностью</w:t>
      </w:r>
      <w:r>
        <w:rPr>
          <w:rFonts w:ascii="Times New Roman" w:eastAsia="Calibri" w:hAnsi="Times New Roman" w:cs="Times New Roman"/>
          <w:b/>
          <w:sz w:val="28"/>
          <w:szCs w:val="24"/>
        </w:rPr>
        <w:t xml:space="preserve"> </w:t>
      </w:r>
      <w:r w:rsidRPr="002517C3">
        <w:rPr>
          <w:rFonts w:ascii="Times New Roman" w:eastAsia="Calibri" w:hAnsi="Times New Roman" w:cs="Times New Roman"/>
          <w:b/>
          <w:sz w:val="28"/>
          <w:szCs w:val="24"/>
        </w:rPr>
        <w:t>Специализированное финансовое общество ВТБ Инвестиционные Продукты</w:t>
      </w:r>
    </w:p>
    <w:p w14:paraId="3895D124" w14:textId="77777777" w:rsidR="00B31A2E" w:rsidRPr="00D128CB" w:rsidRDefault="00B31A2E" w:rsidP="00B31A2E">
      <w:pPr>
        <w:autoSpaceDE w:val="0"/>
        <w:autoSpaceDN w:val="0"/>
        <w:adjustRightInd w:val="0"/>
        <w:spacing w:after="240" w:line="240" w:lineRule="auto"/>
        <w:jc w:val="both"/>
        <w:rPr>
          <w:rFonts w:ascii="Times New Roman" w:eastAsia="Calibri" w:hAnsi="Times New Roman" w:cs="Times New Roman"/>
          <w:b/>
          <w:i/>
          <w:sz w:val="24"/>
        </w:rPr>
      </w:pPr>
    </w:p>
    <w:p w14:paraId="198E8690" w14:textId="4C8AFA6A" w:rsidR="00093373" w:rsidRPr="00D128CB" w:rsidRDefault="00093373" w:rsidP="00B31A2E">
      <w:pPr>
        <w:autoSpaceDE w:val="0"/>
        <w:autoSpaceDN w:val="0"/>
        <w:adjustRightInd w:val="0"/>
        <w:spacing w:after="240" w:line="240" w:lineRule="auto"/>
        <w:jc w:val="center"/>
        <w:rPr>
          <w:rFonts w:ascii="Times New Roman" w:eastAsia="Calibri" w:hAnsi="Times New Roman" w:cs="Times New Roman"/>
          <w:b/>
          <w:i/>
          <w:sz w:val="24"/>
        </w:rPr>
      </w:pPr>
      <w:r w:rsidRPr="00D128CB">
        <w:rPr>
          <w:rFonts w:ascii="Times New Roman" w:eastAsia="Calibri" w:hAnsi="Times New Roman" w:cs="Times New Roman"/>
          <w:b/>
          <w:i/>
          <w:sz w:val="24"/>
        </w:rPr>
        <w:t xml:space="preserve">Структурные процентные неконвертируемые бездокументарные облигации </w:t>
      </w:r>
      <w:r w:rsidR="00B31A2E" w:rsidRPr="00D128CB">
        <w:rPr>
          <w:rFonts w:ascii="Times New Roman" w:eastAsia="Calibri" w:hAnsi="Times New Roman" w:cs="Times New Roman"/>
          <w:b/>
          <w:i/>
          <w:sz w:val="24"/>
        </w:rPr>
        <w:t xml:space="preserve">серии </w:t>
      </w:r>
      <w:r w:rsidR="002517C3">
        <w:rPr>
          <w:rFonts w:ascii="Times New Roman" w:eastAsia="Calibri" w:hAnsi="Times New Roman" w:cs="Times New Roman"/>
          <w:b/>
          <w:i/>
          <w:sz w:val="24"/>
        </w:rPr>
        <w:t>01</w:t>
      </w:r>
      <w:r w:rsidR="00B31A2E" w:rsidRPr="00D128CB">
        <w:rPr>
          <w:rFonts w:ascii="Times New Roman" w:eastAsia="Calibri" w:hAnsi="Times New Roman" w:cs="Times New Roman"/>
          <w:b/>
          <w:i/>
          <w:sz w:val="24"/>
        </w:rPr>
        <w:t xml:space="preserve"> </w:t>
      </w:r>
      <w:r w:rsidRPr="00D128CB">
        <w:rPr>
          <w:rFonts w:ascii="Times New Roman" w:eastAsia="Calibri" w:hAnsi="Times New Roman" w:cs="Times New Roman"/>
          <w:b/>
          <w:i/>
          <w:sz w:val="24"/>
        </w:rPr>
        <w:t>с централизованным учетом прав</w:t>
      </w:r>
    </w:p>
    <w:p w14:paraId="12BF83AE" w14:textId="2893ECEC" w:rsidR="00001F72" w:rsidRPr="00D128CB" w:rsidRDefault="00001F72" w:rsidP="00B31A2E">
      <w:pPr>
        <w:autoSpaceDE w:val="0"/>
        <w:autoSpaceDN w:val="0"/>
        <w:adjustRightInd w:val="0"/>
        <w:spacing w:after="240" w:line="240" w:lineRule="auto"/>
        <w:jc w:val="center"/>
        <w:rPr>
          <w:rFonts w:ascii="Times New Roman" w:eastAsia="Calibri" w:hAnsi="Times New Roman" w:cs="Times New Roman"/>
          <w:b/>
          <w:i/>
          <w:sz w:val="24"/>
        </w:rPr>
      </w:pPr>
      <w:r w:rsidRPr="00D128CB">
        <w:rPr>
          <w:rFonts w:ascii="Times New Roman" w:eastAsia="Calibri" w:hAnsi="Times New Roman" w:cs="Times New Roman"/>
          <w:b/>
          <w:i/>
          <w:sz w:val="24"/>
        </w:rPr>
        <w:t xml:space="preserve">Регистрационный номер выпуска </w:t>
      </w:r>
      <w:r w:rsidR="00FA3444" w:rsidRPr="00FA3444">
        <w:rPr>
          <w:rFonts w:ascii="Times New Roman" w:eastAsia="Calibri" w:hAnsi="Times New Roman" w:cs="Times New Roman"/>
          <w:b/>
          <w:i/>
          <w:sz w:val="24"/>
        </w:rPr>
        <w:t>6-01-00545-R</w:t>
      </w:r>
      <w:r w:rsidRPr="00D128CB">
        <w:rPr>
          <w:rFonts w:ascii="Times New Roman" w:eastAsia="Calibri" w:hAnsi="Times New Roman" w:cs="Times New Roman"/>
          <w:b/>
          <w:i/>
          <w:sz w:val="24"/>
        </w:rPr>
        <w:t xml:space="preserve"> от </w:t>
      </w:r>
      <w:r w:rsidR="00FA3444">
        <w:rPr>
          <w:rFonts w:ascii="Times New Roman" w:eastAsia="Calibri" w:hAnsi="Times New Roman" w:cs="Times New Roman"/>
          <w:b/>
          <w:i/>
          <w:sz w:val="24"/>
        </w:rPr>
        <w:t>02.06.2020</w:t>
      </w:r>
    </w:p>
    <w:p w14:paraId="66852193" w14:textId="2DFFFB63" w:rsidR="00B31A2E" w:rsidRPr="00576D97" w:rsidRDefault="00076122" w:rsidP="00576D97">
      <w:pPr>
        <w:spacing w:after="240" w:line="240" w:lineRule="auto"/>
        <w:jc w:val="center"/>
        <w:rPr>
          <w:rFonts w:ascii="Times New Roman" w:eastAsia="Calibri" w:hAnsi="Times New Roman" w:cs="Times New Roman"/>
          <w:b/>
          <w:sz w:val="24"/>
        </w:rPr>
      </w:pPr>
      <w:r w:rsidRPr="00576D97">
        <w:rPr>
          <w:rFonts w:ascii="Times New Roman" w:eastAsia="Calibri" w:hAnsi="Times New Roman" w:cs="Times New Roman"/>
          <w:b/>
          <w:sz w:val="24"/>
        </w:rPr>
        <w:t>Ценные бумаги, составляющие настоящий выпуск, являются ценными бумагами, предназначенными для квалифицированных инвесторов, и ограничены в обороте в соответствии с законодательством Российской Федерации</w:t>
      </w:r>
    </w:p>
    <w:p w14:paraId="13F0EFD1" w14:textId="0233B44A" w:rsidR="00996FB4" w:rsidRPr="00D128CB" w:rsidRDefault="00996FB4" w:rsidP="00B31A2E">
      <w:pPr>
        <w:spacing w:after="240" w:line="240" w:lineRule="auto"/>
        <w:jc w:val="both"/>
        <w:rPr>
          <w:rFonts w:ascii="Times New Roman" w:eastAsia="Calibri" w:hAnsi="Times New Roman" w:cs="Times New Roman"/>
          <w:i/>
          <w:sz w:val="24"/>
        </w:rPr>
      </w:pPr>
      <w:r w:rsidRPr="00D128CB">
        <w:rPr>
          <w:rFonts w:ascii="Times New Roman" w:eastAsia="Calibri" w:hAnsi="Times New Roman" w:cs="Times New Roman"/>
          <w:sz w:val="24"/>
        </w:rPr>
        <w:t xml:space="preserve">Место нахождения эмитента: </w:t>
      </w:r>
      <w:r w:rsidR="00A306BA" w:rsidRPr="00D128CB">
        <w:rPr>
          <w:rFonts w:ascii="Times New Roman" w:eastAsia="Calibri" w:hAnsi="Times New Roman" w:cs="Times New Roman"/>
          <w:i/>
          <w:sz w:val="24"/>
        </w:rPr>
        <w:t xml:space="preserve">Российская Федерация, г. </w:t>
      </w:r>
      <w:r w:rsidR="002517C3">
        <w:rPr>
          <w:rFonts w:ascii="Times New Roman" w:eastAsia="Calibri" w:hAnsi="Times New Roman" w:cs="Times New Roman"/>
          <w:i/>
          <w:sz w:val="24"/>
        </w:rPr>
        <w:t>Москва</w:t>
      </w:r>
    </w:p>
    <w:p w14:paraId="1C65F9E4" w14:textId="77777777" w:rsidR="00B31A2E" w:rsidRPr="00D128CB" w:rsidRDefault="00B31A2E" w:rsidP="00B31A2E">
      <w:pPr>
        <w:spacing w:after="240" w:line="240" w:lineRule="auto"/>
        <w:jc w:val="both"/>
        <w:rPr>
          <w:rFonts w:ascii="Times New Roman" w:eastAsia="Calibri" w:hAnsi="Times New Roman" w:cs="Times New Roman"/>
          <w:sz w:val="24"/>
        </w:rPr>
      </w:pPr>
    </w:p>
    <w:tbl>
      <w:tblPr>
        <w:tblW w:w="5000" w:type="pct"/>
        <w:tblCellMar>
          <w:left w:w="28" w:type="dxa"/>
          <w:right w:w="28" w:type="dxa"/>
        </w:tblCellMar>
        <w:tblLook w:val="0000" w:firstRow="0" w:lastRow="0" w:firstColumn="0" w:lastColumn="0" w:noHBand="0" w:noVBand="0"/>
      </w:tblPr>
      <w:tblGrid>
        <w:gridCol w:w="171"/>
        <w:gridCol w:w="170"/>
        <w:gridCol w:w="398"/>
        <w:gridCol w:w="256"/>
        <w:gridCol w:w="1364"/>
        <w:gridCol w:w="398"/>
        <w:gridCol w:w="370"/>
        <w:gridCol w:w="2017"/>
        <w:gridCol w:w="994"/>
        <w:gridCol w:w="170"/>
        <w:gridCol w:w="2955"/>
        <w:gridCol w:w="82"/>
      </w:tblGrid>
      <w:tr w:rsidR="007C1A48" w:rsidRPr="004B6C89" w14:paraId="5D185AA6" w14:textId="77777777" w:rsidTr="00D128CB">
        <w:tc>
          <w:tcPr>
            <w:tcW w:w="5000" w:type="pct"/>
            <w:gridSpan w:val="12"/>
            <w:tcBorders>
              <w:top w:val="single" w:sz="4" w:space="0" w:color="auto"/>
              <w:left w:val="single" w:sz="4" w:space="0" w:color="auto"/>
              <w:bottom w:val="nil"/>
              <w:right w:val="single" w:sz="4" w:space="0" w:color="auto"/>
            </w:tcBorders>
            <w:vAlign w:val="bottom"/>
          </w:tcPr>
          <w:p w14:paraId="2CA550C5" w14:textId="77777777" w:rsidR="007C1A48" w:rsidRPr="004B6C89" w:rsidRDefault="007C1A48" w:rsidP="00B31A2E">
            <w:pPr>
              <w:autoSpaceDE w:val="0"/>
              <w:autoSpaceDN w:val="0"/>
              <w:spacing w:after="0" w:line="240" w:lineRule="auto"/>
              <w:rPr>
                <w:rFonts w:ascii="Times New Roman" w:eastAsiaTheme="minorEastAsia" w:hAnsi="Times New Roman"/>
                <w:lang w:eastAsia="ru-RU"/>
              </w:rPr>
            </w:pPr>
          </w:p>
        </w:tc>
      </w:tr>
      <w:tr w:rsidR="007C1A48" w:rsidRPr="004B6C89" w14:paraId="2B5C4D3D" w14:textId="77777777" w:rsidTr="0045015B">
        <w:tc>
          <w:tcPr>
            <w:tcW w:w="91" w:type="pct"/>
            <w:tcBorders>
              <w:top w:val="nil"/>
              <w:left w:val="single" w:sz="4" w:space="0" w:color="auto"/>
              <w:bottom w:val="nil"/>
              <w:right w:val="nil"/>
            </w:tcBorders>
            <w:vAlign w:val="bottom"/>
          </w:tcPr>
          <w:p w14:paraId="0A5A7E48" w14:textId="77777777" w:rsidR="007C1A48" w:rsidRPr="004B6C89" w:rsidRDefault="007C1A48" w:rsidP="00B31A2E">
            <w:pPr>
              <w:autoSpaceDE w:val="0"/>
              <w:autoSpaceDN w:val="0"/>
              <w:spacing w:after="0" w:line="240" w:lineRule="auto"/>
              <w:rPr>
                <w:rFonts w:ascii="Times New Roman" w:eastAsiaTheme="minorEastAsia" w:hAnsi="Times New Roman"/>
                <w:lang w:eastAsia="ru-RU"/>
              </w:rPr>
            </w:pPr>
          </w:p>
        </w:tc>
        <w:tc>
          <w:tcPr>
            <w:tcW w:w="2660" w:type="pct"/>
            <w:gridSpan w:val="7"/>
            <w:tcBorders>
              <w:top w:val="nil"/>
              <w:left w:val="nil"/>
              <w:bottom w:val="nil"/>
              <w:right w:val="nil"/>
            </w:tcBorders>
            <w:vAlign w:val="bottom"/>
          </w:tcPr>
          <w:p w14:paraId="4CAB39D1" w14:textId="2A5E8D96" w:rsidR="007C1A48" w:rsidRPr="004B6C89" w:rsidRDefault="002517C3" w:rsidP="00B31A2E">
            <w:pPr>
              <w:autoSpaceDE w:val="0"/>
              <w:autoSpaceDN w:val="0"/>
              <w:spacing w:after="0" w:line="240" w:lineRule="auto"/>
              <w:jc w:val="both"/>
              <w:rPr>
                <w:rFonts w:ascii="Times New Roman" w:eastAsiaTheme="minorEastAsia" w:hAnsi="Times New Roman"/>
                <w:lang w:eastAsia="ru-RU"/>
              </w:rPr>
            </w:pPr>
            <w:r w:rsidRPr="002517C3">
              <w:rPr>
                <w:rFonts w:ascii="Times New Roman" w:hAnsi="Times New Roman"/>
                <w:bCs/>
                <w:iCs/>
                <w:color w:val="000000"/>
                <w:sz w:val="24"/>
                <w:szCs w:val="24"/>
              </w:rPr>
              <w:t>Директор Общества с ограниченной ответственностью «</w:t>
            </w:r>
            <w:proofErr w:type="spellStart"/>
            <w:r w:rsidRPr="002517C3">
              <w:rPr>
                <w:rFonts w:ascii="Times New Roman" w:hAnsi="Times New Roman"/>
                <w:bCs/>
                <w:iCs/>
                <w:color w:val="000000"/>
                <w:sz w:val="24"/>
                <w:szCs w:val="24"/>
              </w:rPr>
              <w:t>Тревеч</w:t>
            </w:r>
            <w:proofErr w:type="spellEnd"/>
            <w:r w:rsidRPr="002517C3">
              <w:rPr>
                <w:rFonts w:ascii="Times New Roman" w:hAnsi="Times New Roman"/>
                <w:bCs/>
                <w:iCs/>
                <w:color w:val="000000"/>
                <w:sz w:val="24"/>
                <w:szCs w:val="24"/>
              </w:rPr>
              <w:t xml:space="preserve"> - Управление» – управляющей организации Общества с ограниченной ответственностью Специализированное финансовое общество ВТБ Инвестиционные Продукты,  действующей на основании решения единственного учредителя Общества с ограниченной ответственностью Специализированное финансовое общество ВТБ Инвестиционные Продукты (Решение № 1 от 27.12.2018 г.) и договора о передаче полномочий единоличного исполнительного органа № б/н от 22 марта 2019 года</w:t>
            </w:r>
          </w:p>
        </w:tc>
        <w:tc>
          <w:tcPr>
            <w:tcW w:w="532" w:type="pct"/>
            <w:tcBorders>
              <w:top w:val="nil"/>
              <w:left w:val="nil"/>
              <w:right w:val="nil"/>
            </w:tcBorders>
            <w:vAlign w:val="bottom"/>
          </w:tcPr>
          <w:p w14:paraId="5FD5E077" w14:textId="77777777" w:rsidR="007C1A48" w:rsidRPr="004B6C89" w:rsidRDefault="007C1A48" w:rsidP="00B31A2E">
            <w:pPr>
              <w:autoSpaceDE w:val="0"/>
              <w:autoSpaceDN w:val="0"/>
              <w:spacing w:after="0" w:line="240" w:lineRule="auto"/>
              <w:jc w:val="center"/>
              <w:rPr>
                <w:rFonts w:ascii="Times New Roman" w:eastAsiaTheme="minorEastAsia" w:hAnsi="Times New Roman"/>
                <w:lang w:eastAsia="ru-RU"/>
              </w:rPr>
            </w:pPr>
          </w:p>
        </w:tc>
        <w:tc>
          <w:tcPr>
            <w:tcW w:w="91" w:type="pct"/>
            <w:tcBorders>
              <w:top w:val="nil"/>
              <w:left w:val="nil"/>
              <w:bottom w:val="nil"/>
              <w:right w:val="nil"/>
            </w:tcBorders>
            <w:vAlign w:val="bottom"/>
          </w:tcPr>
          <w:p w14:paraId="2B111165" w14:textId="77777777" w:rsidR="007C1A48" w:rsidRPr="004B6C89" w:rsidRDefault="007C1A48" w:rsidP="00B31A2E">
            <w:pPr>
              <w:autoSpaceDE w:val="0"/>
              <w:autoSpaceDN w:val="0"/>
              <w:spacing w:after="0" w:line="240" w:lineRule="auto"/>
              <w:rPr>
                <w:rFonts w:ascii="Times New Roman" w:eastAsiaTheme="minorEastAsia" w:hAnsi="Times New Roman"/>
                <w:lang w:eastAsia="ru-RU"/>
              </w:rPr>
            </w:pPr>
          </w:p>
        </w:tc>
        <w:tc>
          <w:tcPr>
            <w:tcW w:w="1581" w:type="pct"/>
            <w:tcBorders>
              <w:top w:val="nil"/>
              <w:left w:val="nil"/>
              <w:right w:val="nil"/>
            </w:tcBorders>
            <w:vAlign w:val="bottom"/>
          </w:tcPr>
          <w:p w14:paraId="48D51334" w14:textId="73AC5586" w:rsidR="007C1A48" w:rsidRPr="00D431DF" w:rsidRDefault="002517C3" w:rsidP="00B31A2E">
            <w:pPr>
              <w:autoSpaceDE w:val="0"/>
              <w:autoSpaceDN w:val="0"/>
              <w:spacing w:after="0" w:line="240" w:lineRule="auto"/>
              <w:jc w:val="center"/>
              <w:rPr>
                <w:rFonts w:ascii="Times New Roman" w:hAnsi="Times New Roman"/>
              </w:rPr>
            </w:pPr>
            <w:r>
              <w:rPr>
                <w:rFonts w:ascii="Times New Roman" w:eastAsiaTheme="minorEastAsia" w:hAnsi="Times New Roman"/>
                <w:sz w:val="24"/>
                <w:szCs w:val="24"/>
                <w:lang w:eastAsia="ru-RU"/>
              </w:rPr>
              <w:t>Л.В. Лесная</w:t>
            </w:r>
          </w:p>
        </w:tc>
        <w:tc>
          <w:tcPr>
            <w:tcW w:w="41" w:type="pct"/>
            <w:tcBorders>
              <w:top w:val="nil"/>
              <w:left w:val="nil"/>
              <w:bottom w:val="nil"/>
              <w:right w:val="single" w:sz="4" w:space="0" w:color="auto"/>
            </w:tcBorders>
            <w:vAlign w:val="bottom"/>
          </w:tcPr>
          <w:p w14:paraId="314E7E9E" w14:textId="77777777" w:rsidR="007C1A48" w:rsidRPr="004B6C89" w:rsidRDefault="007C1A48" w:rsidP="00B31A2E">
            <w:pPr>
              <w:autoSpaceDE w:val="0"/>
              <w:autoSpaceDN w:val="0"/>
              <w:spacing w:after="0" w:line="240" w:lineRule="auto"/>
              <w:rPr>
                <w:rFonts w:ascii="Times New Roman" w:eastAsiaTheme="minorEastAsia" w:hAnsi="Times New Roman"/>
                <w:lang w:eastAsia="ru-RU"/>
              </w:rPr>
            </w:pPr>
          </w:p>
        </w:tc>
      </w:tr>
      <w:tr w:rsidR="007C1A48" w:rsidRPr="004B6C89" w14:paraId="47D85669" w14:textId="77777777" w:rsidTr="00D128CB">
        <w:tc>
          <w:tcPr>
            <w:tcW w:w="91" w:type="pct"/>
            <w:tcBorders>
              <w:top w:val="nil"/>
              <w:left w:val="single" w:sz="4" w:space="0" w:color="auto"/>
              <w:bottom w:val="nil"/>
              <w:right w:val="nil"/>
            </w:tcBorders>
          </w:tcPr>
          <w:p w14:paraId="0F0BEED6" w14:textId="77777777" w:rsidR="007C1A48" w:rsidRPr="004B6C89" w:rsidRDefault="007C1A48" w:rsidP="00B31A2E">
            <w:pPr>
              <w:autoSpaceDE w:val="0"/>
              <w:autoSpaceDN w:val="0"/>
              <w:spacing w:after="0" w:line="240" w:lineRule="auto"/>
              <w:rPr>
                <w:rFonts w:ascii="Times New Roman" w:eastAsiaTheme="minorEastAsia" w:hAnsi="Times New Roman"/>
                <w:lang w:eastAsia="ru-RU"/>
              </w:rPr>
            </w:pPr>
          </w:p>
        </w:tc>
        <w:tc>
          <w:tcPr>
            <w:tcW w:w="2660" w:type="pct"/>
            <w:gridSpan w:val="7"/>
            <w:tcBorders>
              <w:top w:val="nil"/>
              <w:left w:val="nil"/>
              <w:bottom w:val="nil"/>
              <w:right w:val="nil"/>
            </w:tcBorders>
          </w:tcPr>
          <w:p w14:paraId="57D63AC4" w14:textId="77777777" w:rsidR="007C1A48" w:rsidRPr="004B6C89" w:rsidRDefault="007C1A48" w:rsidP="00B31A2E">
            <w:pPr>
              <w:autoSpaceDE w:val="0"/>
              <w:autoSpaceDN w:val="0"/>
              <w:spacing w:after="0" w:line="240" w:lineRule="auto"/>
              <w:rPr>
                <w:rFonts w:ascii="Times New Roman" w:eastAsiaTheme="minorEastAsia" w:hAnsi="Times New Roman"/>
                <w:lang w:eastAsia="ru-RU"/>
              </w:rPr>
            </w:pPr>
          </w:p>
        </w:tc>
        <w:tc>
          <w:tcPr>
            <w:tcW w:w="532" w:type="pct"/>
            <w:tcBorders>
              <w:top w:val="nil"/>
              <w:left w:val="nil"/>
              <w:bottom w:val="nil"/>
              <w:right w:val="nil"/>
            </w:tcBorders>
          </w:tcPr>
          <w:p w14:paraId="509965CA" w14:textId="21F905D7" w:rsidR="007C1A48" w:rsidRPr="004B6C89" w:rsidRDefault="007C1A48" w:rsidP="00B31A2E">
            <w:pPr>
              <w:autoSpaceDE w:val="0"/>
              <w:autoSpaceDN w:val="0"/>
              <w:spacing w:after="0" w:line="240" w:lineRule="auto"/>
              <w:jc w:val="center"/>
              <w:rPr>
                <w:rFonts w:ascii="Times New Roman" w:eastAsiaTheme="minorEastAsia" w:hAnsi="Times New Roman"/>
                <w:sz w:val="20"/>
                <w:szCs w:val="20"/>
                <w:lang w:eastAsia="ru-RU"/>
              </w:rPr>
            </w:pPr>
          </w:p>
        </w:tc>
        <w:tc>
          <w:tcPr>
            <w:tcW w:w="91" w:type="pct"/>
            <w:tcBorders>
              <w:top w:val="nil"/>
              <w:left w:val="nil"/>
              <w:bottom w:val="nil"/>
              <w:right w:val="nil"/>
            </w:tcBorders>
          </w:tcPr>
          <w:p w14:paraId="27E2E880" w14:textId="77777777" w:rsidR="007C1A48" w:rsidRPr="004B6C89" w:rsidRDefault="007C1A48" w:rsidP="00B31A2E">
            <w:pPr>
              <w:autoSpaceDE w:val="0"/>
              <w:autoSpaceDN w:val="0"/>
              <w:spacing w:after="0" w:line="240" w:lineRule="auto"/>
              <w:rPr>
                <w:rFonts w:ascii="Times New Roman" w:eastAsiaTheme="minorEastAsia" w:hAnsi="Times New Roman"/>
                <w:sz w:val="20"/>
                <w:szCs w:val="20"/>
                <w:lang w:eastAsia="ru-RU"/>
              </w:rPr>
            </w:pPr>
          </w:p>
        </w:tc>
        <w:tc>
          <w:tcPr>
            <w:tcW w:w="1581" w:type="pct"/>
            <w:tcBorders>
              <w:top w:val="nil"/>
              <w:left w:val="nil"/>
              <w:bottom w:val="nil"/>
              <w:right w:val="nil"/>
            </w:tcBorders>
          </w:tcPr>
          <w:p w14:paraId="46FE427A" w14:textId="07CE6EE5" w:rsidR="007C1A48" w:rsidRPr="004B6C89" w:rsidRDefault="007C1A48" w:rsidP="00B31A2E">
            <w:pPr>
              <w:autoSpaceDE w:val="0"/>
              <w:autoSpaceDN w:val="0"/>
              <w:spacing w:after="0" w:line="240" w:lineRule="auto"/>
              <w:jc w:val="center"/>
              <w:rPr>
                <w:rFonts w:ascii="Times New Roman" w:eastAsiaTheme="minorEastAsia" w:hAnsi="Times New Roman"/>
                <w:sz w:val="20"/>
                <w:szCs w:val="20"/>
                <w:lang w:eastAsia="ru-RU"/>
              </w:rPr>
            </w:pPr>
          </w:p>
        </w:tc>
        <w:tc>
          <w:tcPr>
            <w:tcW w:w="41" w:type="pct"/>
            <w:tcBorders>
              <w:top w:val="nil"/>
              <w:left w:val="nil"/>
              <w:bottom w:val="nil"/>
              <w:right w:val="single" w:sz="4" w:space="0" w:color="auto"/>
            </w:tcBorders>
          </w:tcPr>
          <w:p w14:paraId="23492334" w14:textId="77777777" w:rsidR="007C1A48" w:rsidRPr="004B6C89" w:rsidRDefault="007C1A48" w:rsidP="00B31A2E">
            <w:pPr>
              <w:autoSpaceDE w:val="0"/>
              <w:autoSpaceDN w:val="0"/>
              <w:spacing w:after="0" w:line="240" w:lineRule="auto"/>
              <w:rPr>
                <w:rFonts w:ascii="Times New Roman" w:eastAsiaTheme="minorEastAsia" w:hAnsi="Times New Roman"/>
                <w:lang w:eastAsia="ru-RU"/>
              </w:rPr>
            </w:pPr>
          </w:p>
        </w:tc>
      </w:tr>
      <w:tr w:rsidR="007C1A48" w:rsidRPr="004B6C89" w14:paraId="4FDF502F" w14:textId="77777777" w:rsidTr="0045015B">
        <w:trPr>
          <w:cantSplit/>
        </w:trPr>
        <w:tc>
          <w:tcPr>
            <w:tcW w:w="91" w:type="pct"/>
            <w:tcBorders>
              <w:top w:val="nil"/>
              <w:left w:val="single" w:sz="4" w:space="0" w:color="auto"/>
              <w:bottom w:val="nil"/>
              <w:right w:val="nil"/>
            </w:tcBorders>
            <w:vAlign w:val="bottom"/>
          </w:tcPr>
          <w:p w14:paraId="5177CFC9" w14:textId="77777777" w:rsidR="007C1A48" w:rsidRPr="004B6C89" w:rsidRDefault="007C1A48" w:rsidP="00B31A2E">
            <w:pPr>
              <w:autoSpaceDE w:val="0"/>
              <w:autoSpaceDN w:val="0"/>
              <w:spacing w:after="0" w:line="240" w:lineRule="auto"/>
              <w:rPr>
                <w:rFonts w:ascii="Times New Roman" w:eastAsiaTheme="minorEastAsia" w:hAnsi="Times New Roman"/>
                <w:lang w:eastAsia="ru-RU"/>
              </w:rPr>
            </w:pPr>
          </w:p>
        </w:tc>
        <w:tc>
          <w:tcPr>
            <w:tcW w:w="91" w:type="pct"/>
            <w:tcBorders>
              <w:top w:val="nil"/>
              <w:left w:val="nil"/>
              <w:bottom w:val="nil"/>
              <w:right w:val="nil"/>
            </w:tcBorders>
            <w:vAlign w:val="bottom"/>
          </w:tcPr>
          <w:p w14:paraId="7C6B4375" w14:textId="77777777" w:rsidR="007C1A48" w:rsidRPr="004B6C89" w:rsidRDefault="007C1A48" w:rsidP="00B31A2E">
            <w:pPr>
              <w:autoSpaceDE w:val="0"/>
              <w:autoSpaceDN w:val="0"/>
              <w:spacing w:after="0" w:line="240" w:lineRule="auto"/>
              <w:jc w:val="right"/>
              <w:rPr>
                <w:rFonts w:ascii="Times New Roman" w:eastAsiaTheme="minorEastAsia" w:hAnsi="Times New Roman"/>
                <w:lang w:eastAsia="ru-RU"/>
              </w:rPr>
            </w:pPr>
            <w:r w:rsidRPr="004B6C89">
              <w:rPr>
                <w:rFonts w:ascii="Times New Roman" w:eastAsiaTheme="minorEastAsia" w:hAnsi="Times New Roman"/>
                <w:lang w:eastAsia="ru-RU"/>
              </w:rPr>
              <w:t>“</w:t>
            </w:r>
          </w:p>
        </w:tc>
        <w:tc>
          <w:tcPr>
            <w:tcW w:w="213" w:type="pct"/>
            <w:tcBorders>
              <w:top w:val="nil"/>
              <w:left w:val="nil"/>
              <w:right w:val="nil"/>
            </w:tcBorders>
            <w:vAlign w:val="bottom"/>
          </w:tcPr>
          <w:p w14:paraId="3A07DFDB" w14:textId="01538391" w:rsidR="007C1A48" w:rsidRPr="004B6C89" w:rsidRDefault="007C1A48" w:rsidP="00B31A2E">
            <w:pPr>
              <w:autoSpaceDE w:val="0"/>
              <w:autoSpaceDN w:val="0"/>
              <w:spacing w:after="0" w:line="240" w:lineRule="auto"/>
              <w:jc w:val="center"/>
              <w:rPr>
                <w:rFonts w:ascii="Times New Roman" w:eastAsiaTheme="minorEastAsia" w:hAnsi="Times New Roman"/>
                <w:lang w:eastAsia="ru-RU"/>
              </w:rPr>
            </w:pPr>
          </w:p>
        </w:tc>
        <w:tc>
          <w:tcPr>
            <w:tcW w:w="137" w:type="pct"/>
            <w:tcBorders>
              <w:top w:val="nil"/>
              <w:left w:val="nil"/>
              <w:right w:val="nil"/>
            </w:tcBorders>
            <w:vAlign w:val="bottom"/>
          </w:tcPr>
          <w:p w14:paraId="5B23B43E" w14:textId="57340292" w:rsidR="007C1A48" w:rsidRPr="004B6C89" w:rsidRDefault="007C1A48" w:rsidP="00B31A2E">
            <w:pPr>
              <w:autoSpaceDE w:val="0"/>
              <w:autoSpaceDN w:val="0"/>
              <w:spacing w:after="0" w:line="240" w:lineRule="auto"/>
              <w:rPr>
                <w:rFonts w:ascii="Times New Roman" w:eastAsiaTheme="minorEastAsia" w:hAnsi="Times New Roman"/>
                <w:lang w:eastAsia="ru-RU"/>
              </w:rPr>
            </w:pPr>
          </w:p>
        </w:tc>
        <w:tc>
          <w:tcPr>
            <w:tcW w:w="730" w:type="pct"/>
            <w:tcBorders>
              <w:top w:val="nil"/>
              <w:left w:val="nil"/>
              <w:right w:val="nil"/>
            </w:tcBorders>
            <w:vAlign w:val="bottom"/>
          </w:tcPr>
          <w:p w14:paraId="03C686A5" w14:textId="6BA294D1" w:rsidR="007C1A48" w:rsidRPr="004B6C89" w:rsidRDefault="007C1A48" w:rsidP="00B31A2E">
            <w:pPr>
              <w:autoSpaceDE w:val="0"/>
              <w:autoSpaceDN w:val="0"/>
              <w:spacing w:after="0" w:line="240" w:lineRule="auto"/>
              <w:jc w:val="center"/>
              <w:rPr>
                <w:rFonts w:ascii="Times New Roman" w:eastAsiaTheme="minorEastAsia" w:hAnsi="Times New Roman"/>
                <w:lang w:eastAsia="ru-RU"/>
              </w:rPr>
            </w:pPr>
          </w:p>
        </w:tc>
        <w:tc>
          <w:tcPr>
            <w:tcW w:w="213" w:type="pct"/>
            <w:tcBorders>
              <w:top w:val="nil"/>
              <w:left w:val="nil"/>
              <w:right w:val="nil"/>
            </w:tcBorders>
            <w:vAlign w:val="bottom"/>
          </w:tcPr>
          <w:p w14:paraId="72280C6E" w14:textId="386A9352" w:rsidR="007C1A48" w:rsidRPr="004B6C89" w:rsidRDefault="007C1A48" w:rsidP="00B31A2E">
            <w:pPr>
              <w:autoSpaceDE w:val="0"/>
              <w:autoSpaceDN w:val="0"/>
              <w:spacing w:after="0" w:line="240" w:lineRule="auto"/>
              <w:jc w:val="right"/>
              <w:rPr>
                <w:rFonts w:ascii="Times New Roman" w:eastAsiaTheme="minorEastAsia" w:hAnsi="Times New Roman"/>
                <w:lang w:eastAsia="ru-RU"/>
              </w:rPr>
            </w:pPr>
          </w:p>
        </w:tc>
        <w:tc>
          <w:tcPr>
            <w:tcW w:w="198" w:type="pct"/>
            <w:tcBorders>
              <w:top w:val="nil"/>
              <w:left w:val="nil"/>
              <w:right w:val="nil"/>
            </w:tcBorders>
            <w:vAlign w:val="bottom"/>
          </w:tcPr>
          <w:p w14:paraId="0571C369" w14:textId="1110466E" w:rsidR="007C1A48" w:rsidRPr="004B6C89" w:rsidRDefault="007C1A48" w:rsidP="00B31A2E">
            <w:pPr>
              <w:autoSpaceDE w:val="0"/>
              <w:autoSpaceDN w:val="0"/>
              <w:spacing w:after="0" w:line="240" w:lineRule="auto"/>
              <w:rPr>
                <w:rFonts w:ascii="Times New Roman" w:eastAsiaTheme="minorEastAsia" w:hAnsi="Times New Roman"/>
                <w:lang w:eastAsia="ru-RU"/>
              </w:rPr>
            </w:pPr>
          </w:p>
        </w:tc>
        <w:tc>
          <w:tcPr>
            <w:tcW w:w="1079" w:type="pct"/>
            <w:tcBorders>
              <w:top w:val="nil"/>
              <w:left w:val="nil"/>
              <w:bottom w:val="nil"/>
              <w:right w:val="nil"/>
            </w:tcBorders>
            <w:vAlign w:val="bottom"/>
          </w:tcPr>
          <w:p w14:paraId="786258E6" w14:textId="6597F148" w:rsidR="007C1A48" w:rsidRPr="004B6C89" w:rsidRDefault="007C1A48" w:rsidP="00B31A2E">
            <w:pPr>
              <w:autoSpaceDE w:val="0"/>
              <w:autoSpaceDN w:val="0"/>
              <w:spacing w:after="0" w:line="240" w:lineRule="auto"/>
              <w:ind w:left="57"/>
              <w:rPr>
                <w:rFonts w:ascii="Times New Roman" w:eastAsiaTheme="minorEastAsia" w:hAnsi="Times New Roman"/>
                <w:lang w:eastAsia="ru-RU"/>
              </w:rPr>
            </w:pPr>
          </w:p>
        </w:tc>
        <w:tc>
          <w:tcPr>
            <w:tcW w:w="2246" w:type="pct"/>
            <w:gridSpan w:val="4"/>
            <w:tcBorders>
              <w:top w:val="nil"/>
              <w:left w:val="nil"/>
              <w:bottom w:val="nil"/>
              <w:right w:val="single" w:sz="4" w:space="0" w:color="auto"/>
            </w:tcBorders>
            <w:vAlign w:val="bottom"/>
          </w:tcPr>
          <w:p w14:paraId="6FF973E0" w14:textId="6961BCE1" w:rsidR="007C1A48" w:rsidRPr="004B6C89" w:rsidRDefault="007C1A48" w:rsidP="00B31A2E">
            <w:pPr>
              <w:autoSpaceDE w:val="0"/>
              <w:autoSpaceDN w:val="0"/>
              <w:spacing w:after="0" w:line="240" w:lineRule="auto"/>
              <w:rPr>
                <w:rFonts w:ascii="Times New Roman" w:eastAsiaTheme="minorEastAsia" w:hAnsi="Times New Roman"/>
                <w:lang w:eastAsia="ru-RU"/>
              </w:rPr>
            </w:pPr>
          </w:p>
        </w:tc>
      </w:tr>
      <w:tr w:rsidR="007C1A48" w:rsidRPr="004B6C89" w14:paraId="2C36E932" w14:textId="77777777" w:rsidTr="00D128CB">
        <w:trPr>
          <w:trHeight w:val="70"/>
        </w:trPr>
        <w:tc>
          <w:tcPr>
            <w:tcW w:w="5000" w:type="pct"/>
            <w:gridSpan w:val="12"/>
            <w:tcBorders>
              <w:top w:val="nil"/>
              <w:left w:val="single" w:sz="4" w:space="0" w:color="auto"/>
              <w:bottom w:val="single" w:sz="4" w:space="0" w:color="auto"/>
              <w:right w:val="single" w:sz="4" w:space="0" w:color="auto"/>
            </w:tcBorders>
            <w:vAlign w:val="bottom"/>
          </w:tcPr>
          <w:p w14:paraId="451405FF" w14:textId="77777777" w:rsidR="007C1A48" w:rsidRPr="004B6C89" w:rsidRDefault="007C1A48" w:rsidP="00B31A2E">
            <w:pPr>
              <w:autoSpaceDE w:val="0"/>
              <w:autoSpaceDN w:val="0"/>
              <w:spacing w:after="0" w:line="240" w:lineRule="auto"/>
              <w:rPr>
                <w:rFonts w:ascii="Times New Roman" w:eastAsiaTheme="minorEastAsia" w:hAnsi="Times New Roman"/>
                <w:sz w:val="20"/>
                <w:szCs w:val="20"/>
                <w:lang w:eastAsia="ru-RU"/>
              </w:rPr>
            </w:pPr>
          </w:p>
        </w:tc>
      </w:tr>
    </w:tbl>
    <w:p w14:paraId="288975F4" w14:textId="238C56F1" w:rsidR="007C1A48" w:rsidRDefault="007C1A48" w:rsidP="00B31A2E">
      <w:pPr>
        <w:pStyle w:val="a3"/>
        <w:spacing w:after="240" w:line="240" w:lineRule="auto"/>
        <w:ind w:left="0"/>
        <w:rPr>
          <w:rFonts w:ascii="Times New Roman" w:hAnsi="Times New Roman" w:cs="Times New Roman"/>
          <w:sz w:val="16"/>
          <w:szCs w:val="16"/>
        </w:rPr>
      </w:pPr>
    </w:p>
    <w:p w14:paraId="59F01CF6" w14:textId="77777777" w:rsidR="007C1A48" w:rsidRDefault="007C1A48" w:rsidP="00B31A2E">
      <w:pPr>
        <w:spacing w:after="240" w:line="240" w:lineRule="auto"/>
        <w:rPr>
          <w:rFonts w:ascii="Times New Roman" w:hAnsi="Times New Roman" w:cs="Times New Roman"/>
          <w:sz w:val="16"/>
          <w:szCs w:val="16"/>
        </w:rPr>
      </w:pPr>
      <w:r>
        <w:rPr>
          <w:rFonts w:ascii="Times New Roman" w:hAnsi="Times New Roman" w:cs="Times New Roman"/>
          <w:sz w:val="16"/>
          <w:szCs w:val="16"/>
        </w:rPr>
        <w:br w:type="page"/>
      </w:r>
    </w:p>
    <w:p w14:paraId="1ACF7D08" w14:textId="00715EE6" w:rsidR="00F65E0F" w:rsidRPr="000A1EE9" w:rsidRDefault="00F65E0F" w:rsidP="000A1EE9">
      <w:pPr>
        <w:pStyle w:val="Default"/>
        <w:spacing w:after="200"/>
        <w:ind w:firstLine="567"/>
        <w:jc w:val="both"/>
        <w:rPr>
          <w:bCs/>
          <w:iCs/>
          <w:color w:val="auto"/>
          <w:sz w:val="22"/>
          <w:szCs w:val="22"/>
        </w:rPr>
      </w:pPr>
      <w:bookmarkStart w:id="1" w:name="_Hlk509514687"/>
      <w:r w:rsidRPr="000A1EE9">
        <w:rPr>
          <w:bCs/>
          <w:iCs/>
          <w:color w:val="auto"/>
          <w:sz w:val="22"/>
          <w:szCs w:val="22"/>
        </w:rPr>
        <w:lastRenderedPageBreak/>
        <w:t>Т</w:t>
      </w:r>
      <w:r w:rsidR="00B31A2E" w:rsidRPr="000A1EE9">
        <w:rPr>
          <w:bCs/>
          <w:iCs/>
          <w:color w:val="auto"/>
          <w:sz w:val="22"/>
          <w:szCs w:val="22"/>
        </w:rPr>
        <w:t>ермин</w:t>
      </w:r>
      <w:r w:rsidRPr="000A1EE9">
        <w:rPr>
          <w:bCs/>
          <w:iCs/>
          <w:color w:val="auto"/>
          <w:sz w:val="22"/>
          <w:szCs w:val="22"/>
        </w:rPr>
        <w:t>ы</w:t>
      </w:r>
      <w:r w:rsidR="00B31A2E" w:rsidRPr="000A1EE9">
        <w:rPr>
          <w:bCs/>
          <w:iCs/>
          <w:color w:val="auto"/>
          <w:sz w:val="22"/>
          <w:szCs w:val="22"/>
        </w:rPr>
        <w:t xml:space="preserve">, </w:t>
      </w:r>
      <w:r w:rsidR="00D03F3C" w:rsidRPr="000A1EE9">
        <w:rPr>
          <w:bCs/>
          <w:iCs/>
          <w:color w:val="auto"/>
          <w:sz w:val="22"/>
          <w:szCs w:val="22"/>
        </w:rPr>
        <w:t>используемы</w:t>
      </w:r>
      <w:r w:rsidRPr="000A1EE9">
        <w:rPr>
          <w:bCs/>
          <w:iCs/>
          <w:color w:val="auto"/>
          <w:sz w:val="22"/>
          <w:szCs w:val="22"/>
        </w:rPr>
        <w:t>е</w:t>
      </w:r>
      <w:r w:rsidR="00D03F3C" w:rsidRPr="000A1EE9">
        <w:rPr>
          <w:bCs/>
          <w:iCs/>
          <w:color w:val="auto"/>
          <w:sz w:val="22"/>
          <w:szCs w:val="22"/>
        </w:rPr>
        <w:t xml:space="preserve"> </w:t>
      </w:r>
      <w:r w:rsidR="00B31A2E" w:rsidRPr="000A1EE9">
        <w:rPr>
          <w:bCs/>
          <w:iCs/>
          <w:color w:val="auto"/>
          <w:sz w:val="22"/>
          <w:szCs w:val="22"/>
        </w:rPr>
        <w:t>в настоящем документе</w:t>
      </w:r>
      <w:r w:rsidR="00D03F3C" w:rsidRPr="000A1EE9">
        <w:rPr>
          <w:bCs/>
          <w:iCs/>
          <w:color w:val="auto"/>
          <w:sz w:val="22"/>
          <w:szCs w:val="22"/>
        </w:rPr>
        <w:t xml:space="preserve"> с заглавной буквы</w:t>
      </w:r>
      <w:r w:rsidRPr="000A1EE9">
        <w:rPr>
          <w:bCs/>
          <w:iCs/>
          <w:color w:val="auto"/>
          <w:sz w:val="22"/>
          <w:szCs w:val="22"/>
        </w:rPr>
        <w:t xml:space="preserve"> и не имеющие определения в настоящем документе</w:t>
      </w:r>
      <w:r w:rsidR="00D03F3C" w:rsidRPr="000A1EE9">
        <w:rPr>
          <w:bCs/>
          <w:iCs/>
          <w:color w:val="auto"/>
          <w:sz w:val="22"/>
          <w:szCs w:val="22"/>
        </w:rPr>
        <w:t xml:space="preserve">, </w:t>
      </w:r>
      <w:r w:rsidRPr="000A1EE9">
        <w:rPr>
          <w:bCs/>
          <w:iCs/>
          <w:color w:val="auto"/>
          <w:sz w:val="22"/>
          <w:szCs w:val="22"/>
        </w:rPr>
        <w:t xml:space="preserve">имеют значение, определённое </w:t>
      </w:r>
      <w:r w:rsidR="00D03F3C" w:rsidRPr="000A1EE9">
        <w:rPr>
          <w:bCs/>
          <w:iCs/>
          <w:color w:val="auto"/>
          <w:sz w:val="22"/>
          <w:szCs w:val="22"/>
        </w:rPr>
        <w:t>в Решении о выпуске Облигаций, условия размещения которых содержатся в настоящем документе</w:t>
      </w:r>
      <w:r w:rsidRPr="000A1EE9">
        <w:rPr>
          <w:bCs/>
          <w:iCs/>
          <w:color w:val="auto"/>
          <w:sz w:val="22"/>
          <w:szCs w:val="22"/>
        </w:rPr>
        <w:t>.</w:t>
      </w:r>
    </w:p>
    <w:bookmarkEnd w:id="1"/>
    <w:p w14:paraId="6795E7DA" w14:textId="3559DDC2" w:rsidR="00B31A2E" w:rsidRPr="000A1EE9" w:rsidRDefault="00264C2E" w:rsidP="000A1EE9">
      <w:pPr>
        <w:pStyle w:val="Default"/>
        <w:spacing w:after="200"/>
        <w:ind w:firstLine="567"/>
        <w:jc w:val="both"/>
        <w:rPr>
          <w:bCs/>
          <w:iCs/>
          <w:color w:val="auto"/>
          <w:sz w:val="22"/>
          <w:szCs w:val="22"/>
        </w:rPr>
      </w:pPr>
      <w:r w:rsidRPr="000A1EE9">
        <w:rPr>
          <w:bCs/>
          <w:iCs/>
          <w:color w:val="auto"/>
          <w:sz w:val="22"/>
          <w:szCs w:val="22"/>
        </w:rPr>
        <w:t xml:space="preserve">Заданное в настоящем документе значение каждого термина, </w:t>
      </w:r>
      <w:r w:rsidR="006A6435" w:rsidRPr="000A1EE9">
        <w:rPr>
          <w:bCs/>
          <w:iCs/>
          <w:color w:val="auto"/>
          <w:sz w:val="22"/>
          <w:szCs w:val="22"/>
        </w:rPr>
        <w:t>использованного</w:t>
      </w:r>
      <w:r w:rsidRPr="000A1EE9">
        <w:rPr>
          <w:bCs/>
          <w:iCs/>
          <w:color w:val="auto"/>
          <w:sz w:val="22"/>
          <w:szCs w:val="22"/>
        </w:rPr>
        <w:t xml:space="preserve"> с заглавной буквы, относится ко всем таким терминам, а использование терминов во множественном числе не меняет их значения (кроме количественного) и наоборот, использование термина, заданного в единственном числе, во множественном числе также не меняет его значения (кроме количественного).</w:t>
      </w:r>
    </w:p>
    <w:p w14:paraId="7939E8CE" w14:textId="3D9D62FA" w:rsidR="00DF213F" w:rsidRPr="000A1EE9" w:rsidRDefault="00DF213F" w:rsidP="000A1EE9">
      <w:pPr>
        <w:pStyle w:val="1"/>
        <w:spacing w:after="200"/>
        <w:ind w:firstLine="567"/>
        <w:rPr>
          <w:b/>
          <w:sz w:val="22"/>
          <w:szCs w:val="22"/>
        </w:rPr>
      </w:pPr>
      <w:r w:rsidRPr="000A1EE9">
        <w:rPr>
          <w:b/>
          <w:sz w:val="22"/>
          <w:szCs w:val="22"/>
        </w:rPr>
        <w:t>1. Вид, категория (тип)</w:t>
      </w:r>
      <w:r w:rsidR="007C75FF" w:rsidRPr="000A1EE9">
        <w:rPr>
          <w:b/>
          <w:sz w:val="22"/>
          <w:szCs w:val="22"/>
        </w:rPr>
        <w:t>, идентификационные признаки</w:t>
      </w:r>
      <w:r w:rsidRPr="000A1EE9">
        <w:rPr>
          <w:b/>
          <w:sz w:val="22"/>
          <w:szCs w:val="22"/>
        </w:rPr>
        <w:t xml:space="preserve"> ценных бумаг</w:t>
      </w:r>
    </w:p>
    <w:p w14:paraId="4C4E3DE8" w14:textId="3BEC4553" w:rsidR="0089505A" w:rsidRPr="000A1EE9" w:rsidRDefault="0089505A" w:rsidP="000A1EE9">
      <w:pPr>
        <w:pStyle w:val="Default"/>
        <w:spacing w:after="200"/>
        <w:ind w:firstLine="567"/>
        <w:jc w:val="both"/>
        <w:rPr>
          <w:bCs/>
          <w:iCs/>
          <w:color w:val="auto"/>
          <w:sz w:val="22"/>
          <w:szCs w:val="22"/>
        </w:rPr>
      </w:pPr>
      <w:r w:rsidRPr="000A1EE9">
        <w:rPr>
          <w:bCs/>
          <w:iCs/>
          <w:color w:val="auto"/>
          <w:sz w:val="22"/>
          <w:szCs w:val="22"/>
        </w:rPr>
        <w:t>В</w:t>
      </w:r>
      <w:r w:rsidR="00DF213F" w:rsidRPr="000A1EE9">
        <w:rPr>
          <w:bCs/>
          <w:iCs/>
          <w:color w:val="auto"/>
          <w:sz w:val="22"/>
          <w:szCs w:val="22"/>
        </w:rPr>
        <w:t>ид ценных бумаг</w:t>
      </w:r>
      <w:r w:rsidRPr="000A1EE9">
        <w:rPr>
          <w:bCs/>
          <w:iCs/>
          <w:color w:val="auto"/>
          <w:sz w:val="22"/>
          <w:szCs w:val="22"/>
        </w:rPr>
        <w:t>:</w:t>
      </w:r>
      <w:r w:rsidR="00DF213F" w:rsidRPr="000A1EE9">
        <w:rPr>
          <w:bCs/>
          <w:iCs/>
          <w:color w:val="auto"/>
          <w:sz w:val="22"/>
          <w:szCs w:val="22"/>
        </w:rPr>
        <w:t xml:space="preserve"> облигации</w:t>
      </w:r>
      <w:r w:rsidR="00001F72" w:rsidRPr="000A1EE9">
        <w:rPr>
          <w:bCs/>
          <w:iCs/>
          <w:color w:val="auto"/>
          <w:sz w:val="22"/>
          <w:szCs w:val="22"/>
        </w:rPr>
        <w:t>;</w:t>
      </w:r>
    </w:p>
    <w:p w14:paraId="722C6794" w14:textId="3614ADA4" w:rsidR="00001F72" w:rsidRPr="000A1EE9" w:rsidRDefault="0089505A" w:rsidP="000A1EE9">
      <w:pPr>
        <w:pStyle w:val="Default"/>
        <w:spacing w:after="200"/>
        <w:ind w:firstLine="567"/>
        <w:jc w:val="both"/>
        <w:rPr>
          <w:bCs/>
          <w:iCs/>
          <w:color w:val="auto"/>
          <w:sz w:val="22"/>
          <w:szCs w:val="22"/>
        </w:rPr>
      </w:pPr>
      <w:r w:rsidRPr="000A1EE9">
        <w:rPr>
          <w:bCs/>
          <w:iCs/>
          <w:color w:val="auto"/>
          <w:sz w:val="22"/>
          <w:szCs w:val="22"/>
        </w:rPr>
        <w:t>И</w:t>
      </w:r>
      <w:r w:rsidR="00DF213F" w:rsidRPr="000A1EE9">
        <w:rPr>
          <w:bCs/>
          <w:iCs/>
          <w:color w:val="auto"/>
          <w:sz w:val="22"/>
          <w:szCs w:val="22"/>
        </w:rPr>
        <w:t>ные идентификационные признаки размещаемых ценных бумаг</w:t>
      </w:r>
      <w:r w:rsidRPr="000A1EE9">
        <w:rPr>
          <w:bCs/>
          <w:iCs/>
          <w:color w:val="auto"/>
          <w:sz w:val="22"/>
          <w:szCs w:val="22"/>
        </w:rPr>
        <w:t xml:space="preserve">: </w:t>
      </w:r>
      <w:r w:rsidR="00F51EF6" w:rsidRPr="000A1EE9">
        <w:rPr>
          <w:bCs/>
          <w:iCs/>
          <w:color w:val="auto"/>
          <w:sz w:val="22"/>
          <w:szCs w:val="22"/>
        </w:rPr>
        <w:t xml:space="preserve">структурные процентные неконвертируемые бездокументарные облигации </w:t>
      </w:r>
      <w:r w:rsidR="00B31A2E" w:rsidRPr="000A1EE9">
        <w:rPr>
          <w:bCs/>
          <w:iCs/>
          <w:color w:val="auto"/>
          <w:sz w:val="22"/>
          <w:szCs w:val="22"/>
        </w:rPr>
        <w:t xml:space="preserve">серии </w:t>
      </w:r>
      <w:r w:rsidR="002517C3">
        <w:rPr>
          <w:bCs/>
          <w:iCs/>
          <w:color w:val="auto"/>
          <w:sz w:val="22"/>
          <w:szCs w:val="22"/>
        </w:rPr>
        <w:t>01</w:t>
      </w:r>
      <w:r w:rsidR="00B31A2E" w:rsidRPr="000A1EE9">
        <w:rPr>
          <w:bCs/>
          <w:iCs/>
          <w:color w:val="auto"/>
          <w:sz w:val="22"/>
          <w:szCs w:val="22"/>
        </w:rPr>
        <w:t xml:space="preserve"> </w:t>
      </w:r>
      <w:r w:rsidR="00F51EF6" w:rsidRPr="000A1EE9">
        <w:rPr>
          <w:bCs/>
          <w:iCs/>
          <w:color w:val="auto"/>
          <w:sz w:val="22"/>
          <w:szCs w:val="22"/>
        </w:rPr>
        <w:t>с централизованным учетом прав</w:t>
      </w:r>
    </w:p>
    <w:p w14:paraId="6D262112" w14:textId="2243FD6C" w:rsidR="00001F72" w:rsidRPr="000A1EE9" w:rsidRDefault="00693351" w:rsidP="000A1EE9">
      <w:pPr>
        <w:pStyle w:val="Default"/>
        <w:spacing w:after="200"/>
        <w:ind w:firstLine="567"/>
        <w:jc w:val="both"/>
        <w:rPr>
          <w:bCs/>
          <w:iCs/>
          <w:color w:val="auto"/>
          <w:sz w:val="22"/>
          <w:szCs w:val="22"/>
        </w:rPr>
      </w:pPr>
      <w:r w:rsidRPr="000A1EE9">
        <w:rPr>
          <w:bCs/>
          <w:iCs/>
          <w:color w:val="auto"/>
          <w:sz w:val="22"/>
          <w:szCs w:val="22"/>
        </w:rPr>
        <w:t>(</w:t>
      </w:r>
      <w:r w:rsidR="00001F72" w:rsidRPr="000A1EE9">
        <w:rPr>
          <w:bCs/>
          <w:iCs/>
          <w:color w:val="auto"/>
          <w:sz w:val="22"/>
          <w:szCs w:val="22"/>
        </w:rPr>
        <w:t>далее также – «</w:t>
      </w:r>
      <w:r w:rsidR="00001F72" w:rsidRPr="000A1EE9">
        <w:rPr>
          <w:b/>
          <w:bCs/>
          <w:i/>
          <w:iCs/>
          <w:color w:val="auto"/>
          <w:sz w:val="22"/>
          <w:szCs w:val="22"/>
        </w:rPr>
        <w:t>Облигации</w:t>
      </w:r>
      <w:r w:rsidR="00001F72" w:rsidRPr="000A1EE9">
        <w:rPr>
          <w:bCs/>
          <w:iCs/>
          <w:color w:val="auto"/>
          <w:sz w:val="22"/>
          <w:szCs w:val="22"/>
        </w:rPr>
        <w:t>»</w:t>
      </w:r>
      <w:r w:rsidRPr="000A1EE9">
        <w:rPr>
          <w:bCs/>
          <w:iCs/>
          <w:color w:val="auto"/>
          <w:sz w:val="22"/>
          <w:szCs w:val="22"/>
        </w:rPr>
        <w:t>)</w:t>
      </w:r>
      <w:r w:rsidR="00001F72" w:rsidRPr="000A1EE9">
        <w:rPr>
          <w:bCs/>
          <w:iCs/>
          <w:color w:val="auto"/>
          <w:sz w:val="22"/>
          <w:szCs w:val="22"/>
        </w:rPr>
        <w:t>.</w:t>
      </w:r>
      <w:r w:rsidR="00F51EF6" w:rsidRPr="000A1EE9">
        <w:rPr>
          <w:bCs/>
          <w:iCs/>
          <w:color w:val="auto"/>
          <w:sz w:val="22"/>
          <w:szCs w:val="22"/>
        </w:rPr>
        <w:t xml:space="preserve"> </w:t>
      </w:r>
    </w:p>
    <w:p w14:paraId="04D1A823" w14:textId="77777777" w:rsidR="00DF213F" w:rsidRPr="000A1EE9" w:rsidRDefault="00DF213F" w:rsidP="000A1EE9">
      <w:pPr>
        <w:pStyle w:val="1"/>
        <w:spacing w:after="200"/>
        <w:ind w:firstLine="567"/>
        <w:rPr>
          <w:b/>
          <w:sz w:val="22"/>
          <w:szCs w:val="22"/>
        </w:rPr>
      </w:pPr>
      <w:r w:rsidRPr="000A1EE9">
        <w:rPr>
          <w:b/>
          <w:sz w:val="22"/>
          <w:szCs w:val="22"/>
        </w:rPr>
        <w:t xml:space="preserve">2. Количество размещаемых эмиссионных ценных бумаг </w:t>
      </w:r>
    </w:p>
    <w:p w14:paraId="7A2BEA61" w14:textId="44AE4BD0" w:rsidR="00DF213F" w:rsidRPr="000A1EE9" w:rsidRDefault="002517C3" w:rsidP="000A1EE9">
      <w:pPr>
        <w:pStyle w:val="Default"/>
        <w:spacing w:after="200"/>
        <w:ind w:firstLine="567"/>
        <w:jc w:val="both"/>
        <w:rPr>
          <w:bCs/>
          <w:iCs/>
          <w:color w:val="auto"/>
          <w:sz w:val="22"/>
          <w:szCs w:val="22"/>
        </w:rPr>
      </w:pPr>
      <w:r>
        <w:rPr>
          <w:bCs/>
          <w:iCs/>
          <w:color w:val="auto"/>
          <w:sz w:val="22"/>
          <w:szCs w:val="22"/>
        </w:rPr>
        <w:t>5</w:t>
      </w:r>
      <w:r w:rsidR="000300D0" w:rsidRPr="000A1EE9">
        <w:rPr>
          <w:bCs/>
          <w:iCs/>
          <w:color w:val="auto"/>
          <w:sz w:val="22"/>
          <w:szCs w:val="22"/>
        </w:rPr>
        <w:t> 000 000 (</w:t>
      </w:r>
      <w:r>
        <w:rPr>
          <w:bCs/>
          <w:iCs/>
          <w:color w:val="auto"/>
          <w:sz w:val="22"/>
          <w:szCs w:val="22"/>
        </w:rPr>
        <w:t>пять</w:t>
      </w:r>
      <w:r w:rsidR="000300D0" w:rsidRPr="000A1EE9">
        <w:rPr>
          <w:bCs/>
          <w:iCs/>
          <w:color w:val="auto"/>
          <w:sz w:val="22"/>
          <w:szCs w:val="22"/>
        </w:rPr>
        <w:t xml:space="preserve"> миллион</w:t>
      </w:r>
      <w:r>
        <w:rPr>
          <w:bCs/>
          <w:iCs/>
          <w:color w:val="auto"/>
          <w:sz w:val="22"/>
          <w:szCs w:val="22"/>
        </w:rPr>
        <w:t>ов</w:t>
      </w:r>
      <w:r w:rsidR="000300D0" w:rsidRPr="000A1EE9">
        <w:rPr>
          <w:bCs/>
          <w:iCs/>
          <w:color w:val="auto"/>
          <w:sz w:val="22"/>
          <w:szCs w:val="22"/>
        </w:rPr>
        <w:t>) штук</w:t>
      </w:r>
    </w:p>
    <w:p w14:paraId="7597E37D" w14:textId="77777777" w:rsidR="00DF213F" w:rsidRPr="000A1EE9" w:rsidRDefault="00DF213F" w:rsidP="000A1EE9">
      <w:pPr>
        <w:pStyle w:val="1"/>
        <w:spacing w:after="200"/>
        <w:ind w:firstLine="567"/>
        <w:rPr>
          <w:b/>
          <w:sz w:val="22"/>
          <w:szCs w:val="22"/>
        </w:rPr>
      </w:pPr>
      <w:r w:rsidRPr="000A1EE9">
        <w:rPr>
          <w:b/>
          <w:sz w:val="22"/>
          <w:szCs w:val="22"/>
        </w:rPr>
        <w:t>3. Срок размещения ценных бумаг</w:t>
      </w:r>
    </w:p>
    <w:p w14:paraId="29E7A36D" w14:textId="305A2BC3" w:rsidR="00693351" w:rsidRPr="00CE2620" w:rsidRDefault="00B114B4" w:rsidP="000A1EE9">
      <w:pPr>
        <w:pStyle w:val="Default"/>
        <w:spacing w:after="200"/>
        <w:ind w:firstLine="567"/>
        <w:jc w:val="both"/>
        <w:rPr>
          <w:bCs/>
          <w:iCs/>
          <w:color w:val="auto"/>
          <w:sz w:val="22"/>
          <w:szCs w:val="22"/>
        </w:rPr>
      </w:pPr>
      <w:bookmarkStart w:id="2" w:name="OLE_LINK37"/>
      <w:r w:rsidRPr="000A1EE9">
        <w:rPr>
          <w:bCs/>
          <w:iCs/>
          <w:color w:val="auto"/>
          <w:sz w:val="22"/>
          <w:szCs w:val="22"/>
        </w:rPr>
        <w:t xml:space="preserve">Дата начала размещения Облигаций </w:t>
      </w:r>
      <w:bookmarkEnd w:id="2"/>
      <w:r w:rsidR="00C518B8" w:rsidRPr="000A1EE9">
        <w:rPr>
          <w:bCs/>
          <w:iCs/>
          <w:color w:val="auto"/>
          <w:sz w:val="22"/>
          <w:szCs w:val="22"/>
        </w:rPr>
        <w:t xml:space="preserve">– </w:t>
      </w:r>
      <w:r w:rsidR="00E325D8">
        <w:rPr>
          <w:bCs/>
          <w:iCs/>
          <w:color w:val="auto"/>
          <w:sz w:val="22"/>
          <w:szCs w:val="22"/>
        </w:rPr>
        <w:t>23</w:t>
      </w:r>
      <w:r w:rsidR="00FA3444">
        <w:rPr>
          <w:bCs/>
          <w:iCs/>
          <w:color w:val="auto"/>
          <w:sz w:val="22"/>
          <w:szCs w:val="22"/>
        </w:rPr>
        <w:t>.06.2020</w:t>
      </w:r>
      <w:r w:rsidR="00C518B8" w:rsidRPr="000A1EE9">
        <w:rPr>
          <w:bCs/>
          <w:iCs/>
          <w:color w:val="auto"/>
          <w:sz w:val="22"/>
          <w:szCs w:val="22"/>
        </w:rPr>
        <w:t>.</w:t>
      </w:r>
    </w:p>
    <w:p w14:paraId="0DC55DE8" w14:textId="5B100B36" w:rsidR="00B114B4" w:rsidRPr="000A1EE9" w:rsidRDefault="00B114B4" w:rsidP="000A1EE9">
      <w:pPr>
        <w:pStyle w:val="Default"/>
        <w:spacing w:after="200"/>
        <w:ind w:firstLine="567"/>
        <w:jc w:val="both"/>
        <w:rPr>
          <w:bCs/>
          <w:iCs/>
          <w:color w:val="auto"/>
          <w:sz w:val="22"/>
          <w:szCs w:val="22"/>
        </w:rPr>
      </w:pPr>
      <w:r w:rsidRPr="000A1EE9">
        <w:rPr>
          <w:bCs/>
          <w:iCs/>
          <w:color w:val="auto"/>
          <w:sz w:val="22"/>
          <w:szCs w:val="22"/>
        </w:rPr>
        <w:t>Дата окончания размещения облигаций</w:t>
      </w:r>
      <w:r w:rsidR="00C518B8" w:rsidRPr="000A1EE9">
        <w:rPr>
          <w:bCs/>
          <w:iCs/>
          <w:color w:val="auto"/>
          <w:sz w:val="22"/>
          <w:szCs w:val="22"/>
        </w:rPr>
        <w:t xml:space="preserve"> – </w:t>
      </w:r>
      <w:r w:rsidR="006D2AA2">
        <w:rPr>
          <w:bCs/>
          <w:iCs/>
          <w:color w:val="auto"/>
          <w:sz w:val="22"/>
          <w:szCs w:val="22"/>
        </w:rPr>
        <w:t>2</w:t>
      </w:r>
      <w:r w:rsidR="00E325D8">
        <w:rPr>
          <w:bCs/>
          <w:iCs/>
          <w:color w:val="auto"/>
          <w:sz w:val="22"/>
          <w:szCs w:val="22"/>
        </w:rPr>
        <w:t>3</w:t>
      </w:r>
      <w:r w:rsidR="00FA3444">
        <w:rPr>
          <w:bCs/>
          <w:iCs/>
          <w:color w:val="auto"/>
          <w:sz w:val="22"/>
          <w:szCs w:val="22"/>
        </w:rPr>
        <w:t>.06.2020</w:t>
      </w:r>
      <w:r w:rsidR="00C518B8" w:rsidRPr="000A1EE9">
        <w:rPr>
          <w:bCs/>
          <w:iCs/>
          <w:color w:val="auto"/>
          <w:sz w:val="22"/>
          <w:szCs w:val="22"/>
        </w:rPr>
        <w:t>.</w:t>
      </w:r>
    </w:p>
    <w:p w14:paraId="1E192423" w14:textId="77777777" w:rsidR="00DF213F" w:rsidRPr="000A1EE9" w:rsidRDefault="00DF213F" w:rsidP="000A1EE9">
      <w:pPr>
        <w:pStyle w:val="1"/>
        <w:spacing w:after="200"/>
        <w:ind w:firstLine="567"/>
        <w:rPr>
          <w:b/>
          <w:sz w:val="22"/>
          <w:szCs w:val="22"/>
        </w:rPr>
      </w:pPr>
      <w:r w:rsidRPr="000A1EE9">
        <w:rPr>
          <w:b/>
          <w:sz w:val="22"/>
          <w:szCs w:val="22"/>
        </w:rPr>
        <w:t>4. Порядок приобретения ценных бумаг при их размещении</w:t>
      </w:r>
    </w:p>
    <w:p w14:paraId="458C0D02" w14:textId="5186875C" w:rsidR="00DF213F" w:rsidRPr="000A1EE9" w:rsidRDefault="00DF213F" w:rsidP="000A1EE9">
      <w:pPr>
        <w:pStyle w:val="1"/>
        <w:spacing w:after="200"/>
        <w:ind w:firstLine="567"/>
        <w:rPr>
          <w:b/>
          <w:sz w:val="22"/>
          <w:szCs w:val="22"/>
        </w:rPr>
      </w:pPr>
      <w:r w:rsidRPr="000A1EE9">
        <w:rPr>
          <w:b/>
          <w:sz w:val="22"/>
          <w:szCs w:val="22"/>
        </w:rPr>
        <w:t xml:space="preserve">4.1. Способ размещения ценных бумаг: </w:t>
      </w:r>
      <w:r w:rsidRPr="000A1EE9">
        <w:rPr>
          <w:sz w:val="22"/>
          <w:szCs w:val="22"/>
        </w:rPr>
        <w:t>закрытая подписка</w:t>
      </w:r>
    </w:p>
    <w:p w14:paraId="6A0F8297" w14:textId="77777777" w:rsidR="0083411E" w:rsidRPr="000A1EE9" w:rsidRDefault="0083411E" w:rsidP="000A1EE9">
      <w:pPr>
        <w:pStyle w:val="Default"/>
        <w:spacing w:after="200"/>
        <w:ind w:firstLine="567"/>
        <w:jc w:val="both"/>
        <w:rPr>
          <w:bCs/>
          <w:iCs/>
          <w:color w:val="auto"/>
          <w:sz w:val="22"/>
          <w:szCs w:val="22"/>
        </w:rPr>
      </w:pPr>
      <w:r w:rsidRPr="000A1EE9">
        <w:rPr>
          <w:bCs/>
          <w:iCs/>
          <w:color w:val="auto"/>
          <w:sz w:val="22"/>
          <w:szCs w:val="22"/>
        </w:rPr>
        <w:t>Круг потенциальных приобретателей ценных бумаг: Облигации размещаются только среди лиц, являющихся и (или) признанных квалифицированными инвесторами в соответствии с законодательством Российской Федерации.</w:t>
      </w:r>
    </w:p>
    <w:p w14:paraId="773174DA" w14:textId="77777777" w:rsidR="00DF213F" w:rsidRPr="000A1EE9" w:rsidRDefault="00DF213F" w:rsidP="000A1EE9">
      <w:pPr>
        <w:pStyle w:val="1"/>
        <w:spacing w:after="200"/>
        <w:ind w:firstLine="567"/>
        <w:rPr>
          <w:b/>
          <w:sz w:val="22"/>
          <w:szCs w:val="22"/>
        </w:rPr>
      </w:pPr>
      <w:r w:rsidRPr="000A1EE9">
        <w:rPr>
          <w:b/>
          <w:sz w:val="22"/>
          <w:szCs w:val="22"/>
        </w:rPr>
        <w:t>4.2. Порядок размещения ценных бумаг</w:t>
      </w:r>
    </w:p>
    <w:p w14:paraId="3F5CC116" w14:textId="0B706E6B" w:rsidR="00DF213F" w:rsidRPr="000A1EE9" w:rsidRDefault="00DF213F" w:rsidP="000A1EE9">
      <w:pPr>
        <w:pStyle w:val="1"/>
        <w:spacing w:after="200"/>
        <w:ind w:firstLine="567"/>
        <w:rPr>
          <w:b/>
          <w:sz w:val="22"/>
          <w:szCs w:val="22"/>
        </w:rPr>
      </w:pPr>
      <w:r w:rsidRPr="000A1EE9">
        <w:rPr>
          <w:b/>
          <w:sz w:val="22"/>
          <w:szCs w:val="22"/>
        </w:rPr>
        <w:t xml:space="preserve">4.2.1. </w:t>
      </w:r>
      <w:r w:rsidR="0083411E" w:rsidRPr="000A1EE9">
        <w:rPr>
          <w:b/>
          <w:sz w:val="22"/>
          <w:szCs w:val="22"/>
        </w:rPr>
        <w:t>П</w:t>
      </w:r>
      <w:r w:rsidRPr="000A1EE9">
        <w:rPr>
          <w:b/>
          <w:sz w:val="22"/>
          <w:szCs w:val="22"/>
        </w:rPr>
        <w:t>орядок и условия заключения договоров, направленных на отчуждение ценных бумаг первым владельцам в ходе их размещения</w:t>
      </w:r>
      <w:r w:rsidR="002752D6" w:rsidRPr="000A1EE9">
        <w:rPr>
          <w:b/>
          <w:sz w:val="22"/>
          <w:szCs w:val="22"/>
        </w:rPr>
        <w:t>.</w:t>
      </w:r>
    </w:p>
    <w:p w14:paraId="3C408565" w14:textId="65F98FA8"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 xml:space="preserve">Сделки при размещении Облигаций заключаются на торгах </w:t>
      </w:r>
      <w:r w:rsidR="00D10409" w:rsidRPr="000A1EE9">
        <w:rPr>
          <w:bCs/>
          <w:iCs/>
          <w:color w:val="auto"/>
          <w:sz w:val="22"/>
          <w:szCs w:val="22"/>
        </w:rPr>
        <w:t>Публичного акционерного общества «Московская Биржа ММВБ-РТС» (сокращённое наименование – ПАО Московская Биржа; далее – «</w:t>
      </w:r>
      <w:r w:rsidR="00D10409" w:rsidRPr="000A1EE9">
        <w:rPr>
          <w:b/>
          <w:bCs/>
          <w:i/>
          <w:iCs/>
          <w:color w:val="auto"/>
          <w:sz w:val="22"/>
          <w:szCs w:val="22"/>
        </w:rPr>
        <w:t>Московская Биржа</w:t>
      </w:r>
      <w:r w:rsidR="00D10409" w:rsidRPr="000A1EE9">
        <w:rPr>
          <w:bCs/>
          <w:iCs/>
          <w:color w:val="auto"/>
          <w:sz w:val="22"/>
          <w:szCs w:val="22"/>
        </w:rPr>
        <w:t>»)</w:t>
      </w:r>
      <w:r w:rsidRPr="000A1EE9">
        <w:rPr>
          <w:bCs/>
          <w:iCs/>
          <w:color w:val="auto"/>
          <w:sz w:val="22"/>
          <w:szCs w:val="22"/>
        </w:rPr>
        <w:t xml:space="preserve"> путём удовлетворения адресных заявок на покупку Облигаций, поданных с использованием системы торгов Московской Биржи в соответствии с </w:t>
      </w:r>
      <w:r w:rsidR="00D10409" w:rsidRPr="000A1EE9">
        <w:rPr>
          <w:bCs/>
          <w:iCs/>
          <w:color w:val="auto"/>
          <w:sz w:val="22"/>
          <w:szCs w:val="22"/>
        </w:rPr>
        <w:t>Правилами проведения торгов на фондовом рынке и рынке депозитов Московской Биржи</w:t>
      </w:r>
      <w:r w:rsidRPr="000A1EE9">
        <w:rPr>
          <w:bCs/>
          <w:iCs/>
          <w:color w:val="auto"/>
          <w:sz w:val="22"/>
          <w:szCs w:val="22"/>
        </w:rPr>
        <w:t>, зарегистрированными в установленном порядке и действующими на дату проведения торгов</w:t>
      </w:r>
      <w:r w:rsidR="00D10409" w:rsidRPr="000A1EE9">
        <w:rPr>
          <w:bCs/>
          <w:iCs/>
          <w:color w:val="auto"/>
          <w:sz w:val="22"/>
          <w:szCs w:val="22"/>
        </w:rPr>
        <w:t xml:space="preserve"> (далее – «</w:t>
      </w:r>
      <w:r w:rsidR="00D10409" w:rsidRPr="000A1EE9">
        <w:rPr>
          <w:b/>
          <w:bCs/>
          <w:i/>
          <w:iCs/>
          <w:color w:val="auto"/>
          <w:sz w:val="22"/>
          <w:szCs w:val="22"/>
        </w:rPr>
        <w:t>Правила Московской Биржи</w:t>
      </w:r>
      <w:r w:rsidR="00D10409" w:rsidRPr="000A1EE9">
        <w:rPr>
          <w:bCs/>
          <w:iCs/>
          <w:color w:val="auto"/>
          <w:sz w:val="22"/>
          <w:szCs w:val="22"/>
        </w:rPr>
        <w:t>»)</w:t>
      </w:r>
      <w:r w:rsidRPr="000A1EE9">
        <w:rPr>
          <w:bCs/>
          <w:iCs/>
          <w:color w:val="auto"/>
          <w:sz w:val="22"/>
          <w:szCs w:val="22"/>
        </w:rPr>
        <w:t>.</w:t>
      </w:r>
    </w:p>
    <w:p w14:paraId="124A5686" w14:textId="48517AAD"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 xml:space="preserve">В случае если </w:t>
      </w:r>
      <w:r w:rsidR="00D10409" w:rsidRPr="000A1EE9">
        <w:rPr>
          <w:bCs/>
          <w:iCs/>
          <w:color w:val="auto"/>
          <w:sz w:val="22"/>
          <w:szCs w:val="22"/>
        </w:rPr>
        <w:t>п</w:t>
      </w:r>
      <w:r w:rsidRPr="000A1EE9">
        <w:rPr>
          <w:bCs/>
          <w:iCs/>
          <w:color w:val="auto"/>
          <w:sz w:val="22"/>
          <w:szCs w:val="22"/>
        </w:rPr>
        <w:t>отенциальный покупатель</w:t>
      </w:r>
      <w:r w:rsidR="00D10409" w:rsidRPr="000A1EE9">
        <w:rPr>
          <w:bCs/>
          <w:iCs/>
          <w:color w:val="auto"/>
          <w:sz w:val="22"/>
          <w:szCs w:val="22"/>
        </w:rPr>
        <w:t xml:space="preserve"> Облигаций</w:t>
      </w:r>
      <w:r w:rsidRPr="000A1EE9">
        <w:rPr>
          <w:bCs/>
          <w:iCs/>
          <w:color w:val="auto"/>
          <w:sz w:val="22"/>
          <w:szCs w:val="22"/>
        </w:rPr>
        <w:t xml:space="preserve"> не является участником торгов Московской Биржи, для покупки Облигаций он должен заключить соответствующий договор с любым брокером, являющимся участником торгов Московской Биржи, и дать ему поручение на приобретение Облигаций. Потенциальный покупатель Облигаций, являющийся участником торгов Московской Биржи, действует самостоятельно.</w:t>
      </w:r>
    </w:p>
    <w:p w14:paraId="48E61C8F" w14:textId="2A337243"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Размещение Облигаций осуществляется с привлечением Андеррайтера</w:t>
      </w:r>
      <w:r w:rsidR="00D10409" w:rsidRPr="000A1EE9">
        <w:rPr>
          <w:bCs/>
          <w:iCs/>
          <w:color w:val="auto"/>
          <w:sz w:val="22"/>
          <w:szCs w:val="22"/>
        </w:rPr>
        <w:t>, и</w:t>
      </w:r>
      <w:r w:rsidRPr="000A1EE9">
        <w:rPr>
          <w:bCs/>
          <w:iCs/>
          <w:color w:val="auto"/>
          <w:sz w:val="22"/>
          <w:szCs w:val="22"/>
        </w:rPr>
        <w:t>нформация о</w:t>
      </w:r>
      <w:r w:rsidR="00D10409" w:rsidRPr="000A1EE9">
        <w:rPr>
          <w:bCs/>
          <w:iCs/>
          <w:color w:val="auto"/>
          <w:sz w:val="22"/>
          <w:szCs w:val="22"/>
        </w:rPr>
        <w:t xml:space="preserve"> котором приводится в п</w:t>
      </w:r>
      <w:r w:rsidR="006A6435" w:rsidRPr="000A1EE9">
        <w:rPr>
          <w:bCs/>
          <w:iCs/>
          <w:color w:val="auto"/>
          <w:sz w:val="22"/>
          <w:szCs w:val="22"/>
        </w:rPr>
        <w:t>ункте</w:t>
      </w:r>
      <w:r w:rsidR="00D10409" w:rsidRPr="000A1EE9">
        <w:rPr>
          <w:bCs/>
          <w:iCs/>
          <w:color w:val="auto"/>
          <w:sz w:val="22"/>
          <w:szCs w:val="22"/>
        </w:rPr>
        <w:t xml:space="preserve"> 4.2.7.</w:t>
      </w:r>
    </w:p>
    <w:p w14:paraId="3EE27789" w14:textId="594FA761"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 xml:space="preserve">Заявки на приобретение Облигаций направляются участниками торгов Московской Биржи, являющимися квалифицированными инвесторами, в адрес Андеррайтера. </w:t>
      </w:r>
      <w:r w:rsidR="00D10409" w:rsidRPr="000A1EE9">
        <w:rPr>
          <w:bCs/>
          <w:iCs/>
          <w:color w:val="auto"/>
          <w:sz w:val="22"/>
          <w:szCs w:val="22"/>
        </w:rPr>
        <w:t xml:space="preserve">Здесь и далее под </w:t>
      </w:r>
      <w:r w:rsidR="00D10409" w:rsidRPr="000A1EE9">
        <w:rPr>
          <w:bCs/>
          <w:iCs/>
          <w:color w:val="auto"/>
          <w:sz w:val="22"/>
          <w:szCs w:val="22"/>
        </w:rPr>
        <w:lastRenderedPageBreak/>
        <w:t>участниками торгов Московской Биржи понимаются только участники торгов Московской Биржи</w:t>
      </w:r>
      <w:r w:rsidR="006A6435" w:rsidRPr="000A1EE9">
        <w:rPr>
          <w:bCs/>
          <w:iCs/>
          <w:color w:val="auto"/>
          <w:sz w:val="22"/>
          <w:szCs w:val="22"/>
        </w:rPr>
        <w:t>, являющиеся</w:t>
      </w:r>
      <w:r w:rsidR="00D10409" w:rsidRPr="000A1EE9">
        <w:rPr>
          <w:bCs/>
          <w:iCs/>
          <w:color w:val="auto"/>
          <w:sz w:val="22"/>
          <w:szCs w:val="22"/>
        </w:rPr>
        <w:t xml:space="preserve"> квалифицированны</w:t>
      </w:r>
      <w:r w:rsidR="006A6435" w:rsidRPr="000A1EE9">
        <w:rPr>
          <w:bCs/>
          <w:iCs/>
          <w:color w:val="auto"/>
          <w:sz w:val="22"/>
          <w:szCs w:val="22"/>
        </w:rPr>
        <w:t>ми</w:t>
      </w:r>
      <w:r w:rsidR="00D10409" w:rsidRPr="000A1EE9">
        <w:rPr>
          <w:bCs/>
          <w:iCs/>
          <w:color w:val="auto"/>
          <w:sz w:val="22"/>
          <w:szCs w:val="22"/>
        </w:rPr>
        <w:t xml:space="preserve"> инвестор</w:t>
      </w:r>
      <w:r w:rsidR="006A6435" w:rsidRPr="000A1EE9">
        <w:rPr>
          <w:bCs/>
          <w:iCs/>
          <w:color w:val="auto"/>
          <w:sz w:val="22"/>
          <w:szCs w:val="22"/>
        </w:rPr>
        <w:t>ами</w:t>
      </w:r>
      <w:r w:rsidR="00D10409" w:rsidRPr="000A1EE9">
        <w:rPr>
          <w:bCs/>
          <w:iCs/>
          <w:color w:val="auto"/>
          <w:sz w:val="22"/>
          <w:szCs w:val="22"/>
        </w:rPr>
        <w:t>.</w:t>
      </w:r>
    </w:p>
    <w:p w14:paraId="11109797" w14:textId="77777777"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Порядок и способ подачи (направления) и удовлетворения заявок, требования к содержанию заявок и срок их рассмотрения определяются Правилами Московской Биржи.</w:t>
      </w:r>
    </w:p>
    <w:p w14:paraId="44944702" w14:textId="77777777"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Адресные заявки на покупку Облигаций и встречные адресные заявки на продажу Облигаций подаются с использованием системы торгов Московской Биржи в электронном виде, при этом простая письменная форма договора считается соблюденной. Моментом заключения сделки по размещению Облигаций считается момент ее регистрации в системе торгов Московской Биржи.</w:t>
      </w:r>
    </w:p>
    <w:p w14:paraId="0774F8B0" w14:textId="3EEF5EF8"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 xml:space="preserve">Для совершения сделки купли-продажи Облигаций при их размещении </w:t>
      </w:r>
      <w:r w:rsidR="00D10409" w:rsidRPr="000A1EE9">
        <w:rPr>
          <w:bCs/>
          <w:iCs/>
          <w:color w:val="auto"/>
          <w:sz w:val="22"/>
          <w:szCs w:val="22"/>
        </w:rPr>
        <w:t>п</w:t>
      </w:r>
      <w:r w:rsidRPr="000A1EE9">
        <w:rPr>
          <w:bCs/>
          <w:iCs/>
          <w:color w:val="auto"/>
          <w:sz w:val="22"/>
          <w:szCs w:val="22"/>
        </w:rPr>
        <w:t xml:space="preserve">отенциальный покупатель обязан заранее (до даты начала размещения Облигаций) открыть соответствующий счёт депо в </w:t>
      </w:r>
      <w:r w:rsidR="0054661F" w:rsidRPr="000A1EE9">
        <w:rPr>
          <w:bCs/>
          <w:iCs/>
          <w:color w:val="auto"/>
          <w:sz w:val="22"/>
          <w:szCs w:val="22"/>
        </w:rPr>
        <w:t>Небанковской кредитной организации акционерное общество «Национальный расчётный депозитарий» («НРД») или в ином д</w:t>
      </w:r>
      <w:r w:rsidRPr="000A1EE9">
        <w:rPr>
          <w:bCs/>
          <w:iCs/>
          <w:color w:val="auto"/>
          <w:sz w:val="22"/>
          <w:szCs w:val="22"/>
        </w:rPr>
        <w:t>епозитарии. Порядок и сроки открытия счетов депо определяются положениями регламентов соответствующих депозитариев.</w:t>
      </w:r>
    </w:p>
    <w:p w14:paraId="2D752D10" w14:textId="435D16DE"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 xml:space="preserve">Размещение Облигаций на торгах Московской Биржи предусматривает адресованное </w:t>
      </w:r>
      <w:r w:rsidR="00D10409" w:rsidRPr="000A1EE9">
        <w:rPr>
          <w:bCs/>
          <w:iCs/>
          <w:color w:val="auto"/>
          <w:sz w:val="22"/>
          <w:szCs w:val="22"/>
        </w:rPr>
        <w:t>потенциальн</w:t>
      </w:r>
      <w:r w:rsidRPr="000A1EE9">
        <w:rPr>
          <w:bCs/>
          <w:iCs/>
          <w:color w:val="auto"/>
          <w:sz w:val="22"/>
          <w:szCs w:val="22"/>
        </w:rPr>
        <w:t>ым покупателям приглашение делать предложения (оферты) о приобретении размещаемых ценных бумаг, адресованные лицам, являющимся и (или) признанным квалифицированными инвесторами в соответствии с законодательством Российской Федерации. Адресные заявки со стороны участников торгов Московской Биржи являются офертами участников торгов Московской Биржи на приобретение размещаемых Облигаций.</w:t>
      </w:r>
    </w:p>
    <w:p w14:paraId="034E9057" w14:textId="77777777"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Ответ о принятии предложений о приобретении размещаемых Облигаций (акцепт) направляется участникам торгов Московской Биржи, сделавшим такие предложения (оферты) путем выставления встречных адресных заявок в течение срока размещения Облигаций.</w:t>
      </w:r>
    </w:p>
    <w:p w14:paraId="7803FEB1" w14:textId="0E9AA3A3"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 xml:space="preserve">В дату начала размещения Облигаций участники торгов Московской Биржи в течение согласованного между Московской Биржей и Андеррайтером периода подачи заявок на приобретение Облигаций подают адресные заявки на покупку Облигаций с использованием Системы торгов Московской Биржи как за свой счет, так и </w:t>
      </w:r>
      <w:proofErr w:type="gramStart"/>
      <w:r w:rsidRPr="000A1EE9">
        <w:rPr>
          <w:bCs/>
          <w:iCs/>
          <w:color w:val="auto"/>
          <w:sz w:val="22"/>
          <w:szCs w:val="22"/>
        </w:rPr>
        <w:t>за счет</w:t>
      </w:r>
      <w:proofErr w:type="gramEnd"/>
      <w:r w:rsidRPr="000A1EE9">
        <w:rPr>
          <w:bCs/>
          <w:iCs/>
          <w:color w:val="auto"/>
          <w:sz w:val="22"/>
          <w:szCs w:val="22"/>
        </w:rPr>
        <w:t xml:space="preserve"> и по поручению клиентов</w:t>
      </w:r>
      <w:r w:rsidR="006A6435" w:rsidRPr="000A1EE9">
        <w:rPr>
          <w:bCs/>
          <w:iCs/>
          <w:color w:val="auto"/>
          <w:sz w:val="22"/>
          <w:szCs w:val="22"/>
        </w:rPr>
        <w:t xml:space="preserve"> </w:t>
      </w:r>
      <w:r w:rsidRPr="000A1EE9">
        <w:rPr>
          <w:bCs/>
          <w:iCs/>
          <w:color w:val="auto"/>
          <w:sz w:val="22"/>
          <w:szCs w:val="22"/>
        </w:rPr>
        <w:t>-</w:t>
      </w:r>
      <w:r w:rsidR="006A6435" w:rsidRPr="000A1EE9">
        <w:rPr>
          <w:bCs/>
          <w:iCs/>
          <w:color w:val="auto"/>
          <w:sz w:val="22"/>
          <w:szCs w:val="22"/>
        </w:rPr>
        <w:t xml:space="preserve"> </w:t>
      </w:r>
      <w:r w:rsidRPr="000A1EE9">
        <w:rPr>
          <w:bCs/>
          <w:iCs/>
          <w:color w:val="auto"/>
          <w:sz w:val="22"/>
          <w:szCs w:val="22"/>
        </w:rPr>
        <w:t xml:space="preserve">потенциальных покупателей. </w:t>
      </w:r>
    </w:p>
    <w:p w14:paraId="4C4EC922" w14:textId="77777777"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Заявки на приобретение Облигаций направляются участниками торгов Московской Биржи в адрес Андеррайтера.</w:t>
      </w:r>
    </w:p>
    <w:p w14:paraId="0586FF70" w14:textId="77777777"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Заявка на приобретение должна содержать следующие значимые условия:</w:t>
      </w:r>
    </w:p>
    <w:p w14:paraId="27021640" w14:textId="77777777"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 цена покупки;</w:t>
      </w:r>
    </w:p>
    <w:p w14:paraId="161C4F53" w14:textId="77777777"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 количество Облигаций;</w:t>
      </w:r>
    </w:p>
    <w:p w14:paraId="571BCDDC" w14:textId="401BC3E6"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 xml:space="preserve">- код расчетов, определенный </w:t>
      </w:r>
      <w:r w:rsidR="00D10409" w:rsidRPr="000A1EE9">
        <w:rPr>
          <w:bCs/>
          <w:iCs/>
          <w:color w:val="auto"/>
          <w:sz w:val="22"/>
          <w:szCs w:val="22"/>
        </w:rPr>
        <w:t>эмитент</w:t>
      </w:r>
      <w:r w:rsidRPr="000A1EE9">
        <w:rPr>
          <w:bCs/>
          <w:iCs/>
          <w:color w:val="auto"/>
          <w:sz w:val="22"/>
          <w:szCs w:val="22"/>
        </w:rPr>
        <w:t>ом по согласованию c Московской Биржей до даты начала размещения Облигаций;</w:t>
      </w:r>
    </w:p>
    <w:p w14:paraId="60B55F4A" w14:textId="77777777"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 прочие параметры в соответствии с Правилами Московской Биржи.</w:t>
      </w:r>
    </w:p>
    <w:p w14:paraId="29158914" w14:textId="7604F19B"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В качестве це</w:t>
      </w:r>
      <w:r w:rsidR="00385CE1" w:rsidRPr="000A1EE9">
        <w:rPr>
          <w:bCs/>
          <w:iCs/>
          <w:color w:val="auto"/>
          <w:sz w:val="22"/>
          <w:szCs w:val="22"/>
        </w:rPr>
        <w:t>ны покупки должна быть указана ц</w:t>
      </w:r>
      <w:r w:rsidRPr="000A1EE9">
        <w:rPr>
          <w:bCs/>
          <w:iCs/>
          <w:color w:val="auto"/>
          <w:sz w:val="22"/>
          <w:szCs w:val="22"/>
        </w:rPr>
        <w:t>ена размещения Облигаций, определенная в</w:t>
      </w:r>
      <w:r w:rsidR="00385CE1" w:rsidRPr="000A1EE9">
        <w:rPr>
          <w:bCs/>
          <w:iCs/>
          <w:color w:val="auto"/>
          <w:sz w:val="22"/>
          <w:szCs w:val="22"/>
        </w:rPr>
        <w:t xml:space="preserve"> пункте 4.3</w:t>
      </w:r>
      <w:r w:rsidRPr="000A1EE9">
        <w:rPr>
          <w:bCs/>
          <w:iCs/>
          <w:color w:val="auto"/>
          <w:sz w:val="22"/>
          <w:szCs w:val="22"/>
        </w:rPr>
        <w:t>.</w:t>
      </w:r>
    </w:p>
    <w:p w14:paraId="3A388D06" w14:textId="5CD65FFE"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 xml:space="preserve">В качестве количества Облигаций должно быть указано то количество Облигаций, которое </w:t>
      </w:r>
      <w:r w:rsidR="00D10409" w:rsidRPr="000A1EE9">
        <w:rPr>
          <w:bCs/>
          <w:iCs/>
          <w:color w:val="auto"/>
          <w:sz w:val="22"/>
          <w:szCs w:val="22"/>
        </w:rPr>
        <w:t>потенциальн</w:t>
      </w:r>
      <w:r w:rsidRPr="000A1EE9">
        <w:rPr>
          <w:bCs/>
          <w:iCs/>
          <w:color w:val="auto"/>
          <w:sz w:val="22"/>
          <w:szCs w:val="22"/>
        </w:rPr>
        <w:t>ый покупатель желает приобрести.</w:t>
      </w:r>
    </w:p>
    <w:p w14:paraId="2686E0F8" w14:textId="3A8A9790"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Условием регистрации адресных заявок на покупку Облигаций, подаваемых участниками торгов Московской Биржи, является выполнение условий достаточности предоставленного обеспечения, предусмотренных правилами осуществления клиринговой деятельности</w:t>
      </w:r>
      <w:r w:rsidR="001D7A88" w:rsidRPr="000A1EE9">
        <w:rPr>
          <w:bCs/>
          <w:iCs/>
          <w:color w:val="auto"/>
          <w:sz w:val="22"/>
          <w:szCs w:val="22"/>
        </w:rPr>
        <w:t xml:space="preserve"> клиринговой организации, определяющей подлежащие исполнению обязательства по сделкам, заключенным в процессе размещения Облигаций на торгах Московской Биржи (далее – «</w:t>
      </w:r>
      <w:r w:rsidR="001D7A88" w:rsidRPr="000A1EE9">
        <w:rPr>
          <w:b/>
          <w:bCs/>
          <w:i/>
          <w:iCs/>
          <w:color w:val="auto"/>
          <w:sz w:val="22"/>
          <w:szCs w:val="22"/>
        </w:rPr>
        <w:t>Клиринговая организация</w:t>
      </w:r>
      <w:r w:rsidR="001D7A88" w:rsidRPr="000A1EE9">
        <w:rPr>
          <w:bCs/>
          <w:iCs/>
          <w:color w:val="auto"/>
          <w:sz w:val="22"/>
          <w:szCs w:val="22"/>
        </w:rPr>
        <w:t>»)</w:t>
      </w:r>
      <w:r w:rsidRPr="000A1EE9">
        <w:rPr>
          <w:bCs/>
          <w:iCs/>
          <w:color w:val="auto"/>
          <w:sz w:val="22"/>
          <w:szCs w:val="22"/>
        </w:rPr>
        <w:t>.</w:t>
      </w:r>
    </w:p>
    <w:p w14:paraId="1F715001" w14:textId="77777777"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lastRenderedPageBreak/>
        <w:t>Заявки, не соответствующие изложенным выше требованиям, не принимаются.</w:t>
      </w:r>
    </w:p>
    <w:p w14:paraId="5916FBE5" w14:textId="2496925E"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 xml:space="preserve">Время и порядок подачи адресных заявок в течение периода подачи заявок устанавливается Московской Биржей по согласованию с </w:t>
      </w:r>
      <w:r w:rsidR="006A6435" w:rsidRPr="000A1EE9">
        <w:rPr>
          <w:bCs/>
          <w:iCs/>
          <w:color w:val="auto"/>
          <w:sz w:val="22"/>
          <w:szCs w:val="22"/>
        </w:rPr>
        <w:t>Андеррайтером</w:t>
      </w:r>
      <w:r w:rsidRPr="000A1EE9">
        <w:rPr>
          <w:bCs/>
          <w:iCs/>
          <w:color w:val="auto"/>
          <w:sz w:val="22"/>
          <w:szCs w:val="22"/>
        </w:rPr>
        <w:t xml:space="preserve"> и доводятся до сведения участников торгов </w:t>
      </w:r>
      <w:r w:rsidR="006A6435" w:rsidRPr="000A1EE9">
        <w:rPr>
          <w:bCs/>
          <w:iCs/>
          <w:color w:val="auto"/>
          <w:sz w:val="22"/>
          <w:szCs w:val="22"/>
        </w:rPr>
        <w:t>через информационную систему торгов Московской Биржи</w:t>
      </w:r>
      <w:r w:rsidRPr="000A1EE9">
        <w:rPr>
          <w:bCs/>
          <w:iCs/>
          <w:color w:val="auto"/>
          <w:sz w:val="22"/>
          <w:szCs w:val="22"/>
        </w:rPr>
        <w:t>.</w:t>
      </w:r>
    </w:p>
    <w:p w14:paraId="61CA6F9C" w14:textId="70CEB951"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По окончании периода подачи заявок на приобретение Облигаций Московская Биржа составляет сводный реестр заявок на покупку ценных бумаг и передаёт его Андеррайтеру</w:t>
      </w:r>
      <w:r w:rsidR="006A6435" w:rsidRPr="000A1EE9">
        <w:rPr>
          <w:bCs/>
          <w:iCs/>
          <w:color w:val="auto"/>
          <w:sz w:val="22"/>
          <w:szCs w:val="22"/>
        </w:rPr>
        <w:t>, а Андеррайтер в свою очередь сообщает информацию, содержащуюся в указанном реестре, эмитенту</w:t>
      </w:r>
      <w:r w:rsidRPr="000A1EE9">
        <w:rPr>
          <w:bCs/>
          <w:iCs/>
          <w:color w:val="auto"/>
          <w:sz w:val="22"/>
          <w:szCs w:val="22"/>
        </w:rPr>
        <w:t>.</w:t>
      </w:r>
    </w:p>
    <w:p w14:paraId="2E289155" w14:textId="77777777"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 xml:space="preserve">Сводный реестр заявок содержит все значимые условия каждой заявки – цену приобретения, количество ценных бумаг, дату и время поступления заявки, номер заявки, а также иные реквизиты в соответствии с Правилами Московской Биржи. </w:t>
      </w:r>
    </w:p>
    <w:p w14:paraId="0EF491EB" w14:textId="5D04F7B7"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 xml:space="preserve">На основании анализа сводного реестра заявок </w:t>
      </w:r>
      <w:r w:rsidR="00D10409" w:rsidRPr="000A1EE9">
        <w:rPr>
          <w:bCs/>
          <w:iCs/>
          <w:color w:val="auto"/>
          <w:sz w:val="22"/>
          <w:szCs w:val="22"/>
        </w:rPr>
        <w:t>эмитент</w:t>
      </w:r>
      <w:r w:rsidRPr="000A1EE9">
        <w:rPr>
          <w:bCs/>
          <w:iCs/>
          <w:color w:val="auto"/>
          <w:sz w:val="22"/>
          <w:szCs w:val="22"/>
        </w:rPr>
        <w:t xml:space="preserve">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w:t>
      </w:r>
    </w:p>
    <w:p w14:paraId="6F92F1CD" w14:textId="00192A8F" w:rsidR="006A6435" w:rsidRPr="000A1EE9" w:rsidRDefault="006A6435" w:rsidP="000A1EE9">
      <w:pPr>
        <w:pStyle w:val="Default"/>
        <w:spacing w:after="200"/>
        <w:ind w:firstLine="567"/>
        <w:jc w:val="both"/>
        <w:rPr>
          <w:bCs/>
          <w:iCs/>
          <w:color w:val="auto"/>
          <w:sz w:val="22"/>
          <w:szCs w:val="22"/>
        </w:rPr>
      </w:pPr>
      <w:r w:rsidRPr="000A1EE9">
        <w:rPr>
          <w:bCs/>
          <w:iCs/>
          <w:color w:val="auto"/>
          <w:sz w:val="22"/>
          <w:szCs w:val="22"/>
        </w:rPr>
        <w:t>При размещении Облигаций первоочередному удовлетворению подлежат заявки тех приобретателей, с которыми либо с клиентами которых (в случае, если приобретатель Облигаций действует в качестве агента по приобретению Облигаций в ходе размещения) эмитент заключил предварительные договоры, в соответствии с которыми потенциальный покупатель и эмитент обязуются заключить в дату начала размещения Облигаций основные договоры купли-продажи Облигаций, при условии, что такие заявки поданы указанными приобретателями в исполнение заключенных с ними предварительных договоров.</w:t>
      </w:r>
    </w:p>
    <w:p w14:paraId="16FF1381" w14:textId="542CE922" w:rsidR="00473E01" w:rsidRPr="000A1EE9" w:rsidRDefault="006A6435" w:rsidP="000A1EE9">
      <w:pPr>
        <w:pStyle w:val="Default"/>
        <w:spacing w:after="200"/>
        <w:ind w:firstLine="567"/>
        <w:jc w:val="both"/>
        <w:rPr>
          <w:bCs/>
          <w:iCs/>
          <w:color w:val="auto"/>
          <w:sz w:val="22"/>
          <w:szCs w:val="22"/>
        </w:rPr>
      </w:pPr>
      <w:r w:rsidRPr="000A1EE9">
        <w:rPr>
          <w:bCs/>
          <w:iCs/>
          <w:color w:val="auto"/>
          <w:sz w:val="22"/>
          <w:szCs w:val="22"/>
        </w:rPr>
        <w:t>Андеррайтер</w:t>
      </w:r>
      <w:r w:rsidR="00473E01" w:rsidRPr="000A1EE9">
        <w:rPr>
          <w:bCs/>
          <w:iCs/>
          <w:color w:val="auto"/>
          <w:sz w:val="22"/>
          <w:szCs w:val="22"/>
        </w:rPr>
        <w:t xml:space="preserve"> заключает сделки с приобретателями</w:t>
      </w:r>
      <w:r w:rsidRPr="000A1EE9">
        <w:rPr>
          <w:bCs/>
          <w:iCs/>
          <w:color w:val="auto"/>
          <w:sz w:val="22"/>
          <w:szCs w:val="22"/>
        </w:rPr>
        <w:t>, определёнными эмитентом,</w:t>
      </w:r>
      <w:r w:rsidR="00473E01" w:rsidRPr="000A1EE9">
        <w:rPr>
          <w:bCs/>
          <w:iCs/>
          <w:color w:val="auto"/>
          <w:sz w:val="22"/>
          <w:szCs w:val="22"/>
        </w:rPr>
        <w:t xml:space="preserve"> путем выставления встречных адресных заявок с указанием количества ценных бумаг, которое </w:t>
      </w:r>
      <w:r w:rsidRPr="000A1EE9">
        <w:rPr>
          <w:bCs/>
          <w:iCs/>
          <w:color w:val="auto"/>
          <w:sz w:val="22"/>
          <w:szCs w:val="22"/>
        </w:rPr>
        <w:t>подлежит размещению</w:t>
      </w:r>
      <w:r w:rsidR="00473E01" w:rsidRPr="000A1EE9">
        <w:rPr>
          <w:bCs/>
          <w:iCs/>
          <w:color w:val="auto"/>
          <w:sz w:val="22"/>
          <w:szCs w:val="22"/>
        </w:rPr>
        <w:t xml:space="preserve"> данному приобретателю, согласно установленному Правилами Московской Биржи порядку.</w:t>
      </w:r>
    </w:p>
    <w:p w14:paraId="439B69E1" w14:textId="6A26B5E9" w:rsidR="00473E01" w:rsidRPr="000A1EE9" w:rsidRDefault="00473E01" w:rsidP="000A1EE9">
      <w:pPr>
        <w:pStyle w:val="Default"/>
        <w:spacing w:after="200"/>
        <w:ind w:firstLine="567"/>
        <w:jc w:val="both"/>
        <w:rPr>
          <w:bCs/>
          <w:iCs/>
          <w:color w:val="auto"/>
          <w:sz w:val="22"/>
          <w:szCs w:val="22"/>
        </w:rPr>
      </w:pPr>
      <w:r w:rsidRPr="000A1EE9">
        <w:rPr>
          <w:bCs/>
          <w:iCs/>
          <w:color w:val="auto"/>
          <w:sz w:val="22"/>
          <w:szCs w:val="22"/>
        </w:rPr>
        <w:t xml:space="preserve">После удовлетворения заявок, поданных в течение периода подачи заявок, в случае неполного размещения выпуска Облигаций по его итогам, участники торгов, действующие как за свой счет, так и за счет и по поручению потенциальных приобретателей, могут в течение срока размещения подавать адресные заявки на покупку Облигаций по цене размещения в адрес </w:t>
      </w:r>
      <w:r w:rsidR="006A6435" w:rsidRPr="000A1EE9">
        <w:rPr>
          <w:bCs/>
          <w:iCs/>
          <w:color w:val="auto"/>
          <w:sz w:val="22"/>
          <w:szCs w:val="22"/>
        </w:rPr>
        <w:t>Андеррайтера</w:t>
      </w:r>
      <w:r w:rsidRPr="000A1EE9">
        <w:rPr>
          <w:bCs/>
          <w:iCs/>
          <w:color w:val="auto"/>
          <w:sz w:val="22"/>
          <w:szCs w:val="22"/>
        </w:rPr>
        <w:t>.</w:t>
      </w:r>
      <w:r w:rsidR="006A6435" w:rsidRPr="000A1EE9">
        <w:rPr>
          <w:bCs/>
          <w:iCs/>
          <w:color w:val="auto"/>
          <w:sz w:val="22"/>
          <w:szCs w:val="22"/>
        </w:rPr>
        <w:t xml:space="preserve"> Андеррайтер передаёт информацию о таких заявках эмитенту, а э</w:t>
      </w:r>
      <w:r w:rsidRPr="000A1EE9">
        <w:rPr>
          <w:bCs/>
          <w:iCs/>
          <w:color w:val="auto"/>
          <w:sz w:val="22"/>
          <w:szCs w:val="22"/>
        </w:rPr>
        <w:t>митент рассматривает такие заявки и определяет приобретателей, которым он намеревается продать Облигации, а также количество Облигаций, которые он намеревается продать данным приобретателям</w:t>
      </w:r>
      <w:r w:rsidR="006A6435" w:rsidRPr="000A1EE9">
        <w:rPr>
          <w:bCs/>
          <w:iCs/>
          <w:color w:val="auto"/>
          <w:sz w:val="22"/>
          <w:szCs w:val="22"/>
        </w:rPr>
        <w:t>. Андеррайтер</w:t>
      </w:r>
      <w:r w:rsidRPr="000A1EE9">
        <w:rPr>
          <w:bCs/>
          <w:iCs/>
          <w:color w:val="auto"/>
          <w:sz w:val="22"/>
          <w:szCs w:val="22"/>
        </w:rPr>
        <w:t xml:space="preserve"> заключает сделки купли-продажи Облигаций с такими приобретателями путем выставления встречных адресных заявок в соответствии с Правилами Московской Биржи с указанием количества бумаг, которое </w:t>
      </w:r>
      <w:r w:rsidR="006A6435" w:rsidRPr="000A1EE9">
        <w:rPr>
          <w:bCs/>
          <w:iCs/>
          <w:color w:val="auto"/>
          <w:sz w:val="22"/>
          <w:szCs w:val="22"/>
        </w:rPr>
        <w:t>подлежит размещению в пользу</w:t>
      </w:r>
      <w:r w:rsidRPr="000A1EE9">
        <w:rPr>
          <w:bCs/>
          <w:iCs/>
          <w:color w:val="auto"/>
          <w:sz w:val="22"/>
          <w:szCs w:val="22"/>
        </w:rPr>
        <w:t xml:space="preserve"> данно</w:t>
      </w:r>
      <w:r w:rsidR="006A6435" w:rsidRPr="000A1EE9">
        <w:rPr>
          <w:bCs/>
          <w:iCs/>
          <w:color w:val="auto"/>
          <w:sz w:val="22"/>
          <w:szCs w:val="22"/>
        </w:rPr>
        <w:t>го</w:t>
      </w:r>
      <w:r w:rsidRPr="000A1EE9">
        <w:rPr>
          <w:bCs/>
          <w:iCs/>
          <w:color w:val="auto"/>
          <w:sz w:val="22"/>
          <w:szCs w:val="22"/>
        </w:rPr>
        <w:t xml:space="preserve"> приобретател</w:t>
      </w:r>
      <w:r w:rsidR="006A6435" w:rsidRPr="000A1EE9">
        <w:rPr>
          <w:bCs/>
          <w:iCs/>
          <w:color w:val="auto"/>
          <w:sz w:val="22"/>
          <w:szCs w:val="22"/>
        </w:rPr>
        <w:t>я</w:t>
      </w:r>
      <w:r w:rsidRPr="000A1EE9">
        <w:rPr>
          <w:bCs/>
          <w:iCs/>
          <w:color w:val="auto"/>
          <w:sz w:val="22"/>
          <w:szCs w:val="22"/>
        </w:rPr>
        <w:t>.</w:t>
      </w:r>
    </w:p>
    <w:p w14:paraId="0293D8D1" w14:textId="33639B08" w:rsidR="00864501" w:rsidRPr="000A1EE9" w:rsidRDefault="00DF213F" w:rsidP="000A1EE9">
      <w:pPr>
        <w:pStyle w:val="1"/>
        <w:spacing w:after="200"/>
        <w:ind w:firstLine="567"/>
        <w:rPr>
          <w:sz w:val="22"/>
          <w:szCs w:val="22"/>
        </w:rPr>
      </w:pPr>
      <w:r w:rsidRPr="000A1EE9">
        <w:rPr>
          <w:b/>
          <w:sz w:val="22"/>
          <w:szCs w:val="22"/>
        </w:rPr>
        <w:t>4.2.2.</w:t>
      </w:r>
      <w:r w:rsidRPr="000A1EE9">
        <w:rPr>
          <w:sz w:val="22"/>
          <w:szCs w:val="22"/>
        </w:rPr>
        <w:t xml:space="preserve"> </w:t>
      </w:r>
      <w:r w:rsidR="00864501" w:rsidRPr="000A1EE9">
        <w:rPr>
          <w:sz w:val="22"/>
          <w:szCs w:val="22"/>
        </w:rPr>
        <w:t>Преимущественное право приобретения размещаемых ценных бумаг не предусмотрено.</w:t>
      </w:r>
    </w:p>
    <w:p w14:paraId="70A0735C" w14:textId="2CF3A9B2" w:rsidR="00A842C9" w:rsidRPr="000A1EE9" w:rsidRDefault="00DF213F" w:rsidP="000A1EE9">
      <w:pPr>
        <w:pStyle w:val="1"/>
        <w:spacing w:after="200"/>
        <w:ind w:firstLine="567"/>
        <w:rPr>
          <w:sz w:val="22"/>
          <w:szCs w:val="22"/>
        </w:rPr>
      </w:pPr>
      <w:r w:rsidRPr="000A1EE9">
        <w:rPr>
          <w:b/>
          <w:sz w:val="22"/>
          <w:szCs w:val="22"/>
        </w:rPr>
        <w:t>4.2.3.</w:t>
      </w:r>
      <w:r w:rsidRPr="000A1EE9">
        <w:rPr>
          <w:sz w:val="22"/>
          <w:szCs w:val="22"/>
        </w:rPr>
        <w:t xml:space="preserve"> </w:t>
      </w:r>
      <w:r w:rsidR="00A842C9" w:rsidRPr="000A1EE9">
        <w:rPr>
          <w:sz w:val="22"/>
          <w:szCs w:val="22"/>
        </w:rPr>
        <w:t xml:space="preserve">Размещенные Облигации зачисляются НРД на счета депо покупателей Облигаций в порядке, установленном условиями осуществления депозитарной деятельности НРД и правилами Клиринговой организации, в дату совершения операции купли-продажи. </w:t>
      </w:r>
    </w:p>
    <w:p w14:paraId="567694F8" w14:textId="77777777" w:rsidR="00A842C9" w:rsidRPr="000A1EE9" w:rsidRDefault="00A842C9" w:rsidP="000A1EE9">
      <w:pPr>
        <w:pStyle w:val="Default"/>
        <w:spacing w:after="200"/>
        <w:ind w:firstLine="567"/>
        <w:jc w:val="both"/>
        <w:rPr>
          <w:bCs/>
          <w:iCs/>
          <w:color w:val="auto"/>
          <w:sz w:val="22"/>
          <w:szCs w:val="22"/>
        </w:rPr>
      </w:pPr>
      <w:r w:rsidRPr="000A1EE9">
        <w:rPr>
          <w:bCs/>
          <w:iCs/>
          <w:color w:val="auto"/>
          <w:sz w:val="22"/>
          <w:szCs w:val="22"/>
        </w:rPr>
        <w:t xml:space="preserve">Приходная запись по счету депо первого владельца в НРД вносится на основании информации, полученной от Клиринговой организации, осуществляющей определение обязательств подлежащих исполнению по сделкам, заключенным в процессе размещения Облигаций на Московской Бирже. </w:t>
      </w:r>
    </w:p>
    <w:p w14:paraId="7AE5ECE6" w14:textId="45091807" w:rsidR="00B56576" w:rsidRPr="000A1EE9" w:rsidRDefault="00A842C9" w:rsidP="000A1EE9">
      <w:pPr>
        <w:pStyle w:val="Default"/>
        <w:spacing w:after="200"/>
        <w:ind w:firstLine="567"/>
        <w:jc w:val="both"/>
        <w:rPr>
          <w:bCs/>
          <w:iCs/>
          <w:color w:val="auto"/>
          <w:sz w:val="22"/>
          <w:szCs w:val="22"/>
        </w:rPr>
      </w:pPr>
      <w:r w:rsidRPr="000A1EE9">
        <w:rPr>
          <w:bCs/>
          <w:iCs/>
          <w:color w:val="auto"/>
          <w:sz w:val="22"/>
          <w:szCs w:val="22"/>
        </w:rPr>
        <w:t>Расходы, связанные с внесением приходных записей о зачислении размещаемых Облигаций на счета депо их первых владельцев (приобретателей), несут первые владельцы (приобретатели) таких Облигаций.</w:t>
      </w:r>
    </w:p>
    <w:p w14:paraId="1619FF76" w14:textId="1BBEAAF6" w:rsidR="00B56576" w:rsidRPr="000A1EE9" w:rsidRDefault="00DF213F" w:rsidP="000A1EE9">
      <w:pPr>
        <w:pStyle w:val="1"/>
        <w:spacing w:after="200"/>
        <w:ind w:firstLine="567"/>
        <w:rPr>
          <w:sz w:val="22"/>
          <w:szCs w:val="22"/>
        </w:rPr>
      </w:pPr>
      <w:r w:rsidRPr="000A1EE9">
        <w:rPr>
          <w:b/>
          <w:sz w:val="22"/>
          <w:szCs w:val="22"/>
        </w:rPr>
        <w:t>4.2.4.</w:t>
      </w:r>
      <w:r w:rsidRPr="000A1EE9">
        <w:rPr>
          <w:sz w:val="22"/>
          <w:szCs w:val="22"/>
        </w:rPr>
        <w:t xml:space="preserve"> </w:t>
      </w:r>
      <w:r w:rsidR="00B56576" w:rsidRPr="000A1EE9">
        <w:rPr>
          <w:sz w:val="22"/>
          <w:szCs w:val="22"/>
        </w:rPr>
        <w:t xml:space="preserve">Размещаемые </w:t>
      </w:r>
      <w:r w:rsidR="00ED3FC4" w:rsidRPr="000A1EE9">
        <w:rPr>
          <w:sz w:val="22"/>
          <w:szCs w:val="22"/>
        </w:rPr>
        <w:t xml:space="preserve">ценные бумаги </w:t>
      </w:r>
      <w:r w:rsidR="00B56576" w:rsidRPr="000A1EE9">
        <w:rPr>
          <w:sz w:val="22"/>
          <w:szCs w:val="22"/>
        </w:rPr>
        <w:t>не являются акциями.</w:t>
      </w:r>
    </w:p>
    <w:p w14:paraId="0A0694BE" w14:textId="3908294C" w:rsidR="00B56576" w:rsidRPr="000A1EE9" w:rsidRDefault="00DF213F" w:rsidP="000A1EE9">
      <w:pPr>
        <w:pStyle w:val="1"/>
        <w:spacing w:after="200"/>
        <w:ind w:firstLine="567"/>
        <w:rPr>
          <w:b/>
          <w:sz w:val="22"/>
          <w:szCs w:val="22"/>
        </w:rPr>
      </w:pPr>
      <w:r w:rsidRPr="000A1EE9">
        <w:rPr>
          <w:b/>
          <w:sz w:val="22"/>
          <w:szCs w:val="22"/>
        </w:rPr>
        <w:t>4.2.</w:t>
      </w:r>
      <w:r w:rsidR="004C5446" w:rsidRPr="000A1EE9">
        <w:rPr>
          <w:b/>
          <w:sz w:val="22"/>
          <w:szCs w:val="22"/>
        </w:rPr>
        <w:t>5</w:t>
      </w:r>
      <w:r w:rsidRPr="000A1EE9">
        <w:rPr>
          <w:b/>
          <w:sz w:val="22"/>
          <w:szCs w:val="22"/>
        </w:rPr>
        <w:t xml:space="preserve">. </w:t>
      </w:r>
      <w:r w:rsidR="00ED3FC4" w:rsidRPr="000A1EE9">
        <w:rPr>
          <w:b/>
          <w:sz w:val="22"/>
          <w:szCs w:val="22"/>
        </w:rPr>
        <w:t>Л</w:t>
      </w:r>
      <w:r w:rsidR="00B56576" w:rsidRPr="000A1EE9">
        <w:rPr>
          <w:b/>
          <w:sz w:val="22"/>
          <w:szCs w:val="22"/>
        </w:rPr>
        <w:t>иц</w:t>
      </w:r>
      <w:r w:rsidR="00ED3FC4" w:rsidRPr="000A1EE9">
        <w:rPr>
          <w:b/>
          <w:sz w:val="22"/>
          <w:szCs w:val="22"/>
        </w:rPr>
        <w:t>о</w:t>
      </w:r>
      <w:r w:rsidR="00B56576" w:rsidRPr="000A1EE9">
        <w:rPr>
          <w:b/>
          <w:sz w:val="22"/>
          <w:szCs w:val="22"/>
        </w:rPr>
        <w:t>, организующего проведение торгов</w:t>
      </w:r>
      <w:r w:rsidR="00ED3FC4" w:rsidRPr="000A1EE9">
        <w:rPr>
          <w:b/>
          <w:sz w:val="22"/>
          <w:szCs w:val="22"/>
        </w:rPr>
        <w:t>, на которых размещаются Облигации</w:t>
      </w:r>
      <w:r w:rsidR="00B56576" w:rsidRPr="000A1EE9">
        <w:rPr>
          <w:b/>
          <w:sz w:val="22"/>
          <w:szCs w:val="22"/>
        </w:rPr>
        <w:t>:</w:t>
      </w:r>
    </w:p>
    <w:p w14:paraId="4A11C848" w14:textId="71ACFBAE" w:rsidR="00ED3FC4" w:rsidRPr="000A1EE9" w:rsidRDefault="00ED3FC4" w:rsidP="000A1EE9">
      <w:pPr>
        <w:pStyle w:val="Default"/>
        <w:spacing w:after="200"/>
        <w:ind w:firstLine="567"/>
        <w:jc w:val="both"/>
        <w:rPr>
          <w:bCs/>
          <w:iCs/>
          <w:color w:val="auto"/>
          <w:sz w:val="22"/>
          <w:szCs w:val="22"/>
        </w:rPr>
      </w:pPr>
      <w:r w:rsidRPr="000A1EE9">
        <w:rPr>
          <w:bCs/>
          <w:iCs/>
          <w:color w:val="auto"/>
          <w:sz w:val="22"/>
          <w:szCs w:val="22"/>
        </w:rPr>
        <w:lastRenderedPageBreak/>
        <w:t>Полное фирменное наименование: Публичное акционерное общество «Московская Биржа ММВБ-РТС»</w:t>
      </w:r>
    </w:p>
    <w:p w14:paraId="273D5B5B" w14:textId="7BBA424B" w:rsidR="00ED3FC4" w:rsidRPr="000A1EE9" w:rsidRDefault="00ED3FC4" w:rsidP="000A1EE9">
      <w:pPr>
        <w:pStyle w:val="Default"/>
        <w:spacing w:after="200"/>
        <w:ind w:firstLine="567"/>
        <w:jc w:val="both"/>
        <w:rPr>
          <w:bCs/>
          <w:iCs/>
          <w:color w:val="auto"/>
          <w:sz w:val="22"/>
          <w:szCs w:val="22"/>
        </w:rPr>
      </w:pPr>
      <w:r w:rsidRPr="000A1EE9">
        <w:rPr>
          <w:bCs/>
          <w:iCs/>
          <w:color w:val="auto"/>
          <w:sz w:val="22"/>
          <w:szCs w:val="22"/>
        </w:rPr>
        <w:t>ОГРН 1027739387411</w:t>
      </w:r>
    </w:p>
    <w:p w14:paraId="77E68CCB" w14:textId="738D161A" w:rsidR="00ED3FC4" w:rsidRPr="000A1EE9" w:rsidRDefault="00ED3FC4" w:rsidP="000A1EE9">
      <w:pPr>
        <w:pStyle w:val="Default"/>
        <w:spacing w:after="200"/>
        <w:ind w:firstLine="567"/>
        <w:jc w:val="both"/>
        <w:rPr>
          <w:bCs/>
          <w:iCs/>
          <w:color w:val="auto"/>
          <w:sz w:val="22"/>
          <w:szCs w:val="22"/>
        </w:rPr>
      </w:pPr>
      <w:r w:rsidRPr="000A1EE9">
        <w:rPr>
          <w:bCs/>
          <w:iCs/>
          <w:color w:val="auto"/>
          <w:sz w:val="22"/>
          <w:szCs w:val="22"/>
        </w:rPr>
        <w:t>Место нахождения: Российская Федерация, г. Москва</w:t>
      </w:r>
    </w:p>
    <w:p w14:paraId="1938137D" w14:textId="0D5733B8" w:rsidR="00A842C9" w:rsidRPr="000A1EE9" w:rsidRDefault="00DF213F" w:rsidP="000A1EE9">
      <w:pPr>
        <w:pStyle w:val="1"/>
        <w:spacing w:after="200"/>
        <w:ind w:firstLine="567"/>
        <w:rPr>
          <w:sz w:val="22"/>
          <w:szCs w:val="22"/>
        </w:rPr>
      </w:pPr>
      <w:r w:rsidRPr="000A1EE9">
        <w:rPr>
          <w:b/>
          <w:sz w:val="22"/>
          <w:szCs w:val="22"/>
        </w:rPr>
        <w:t>4.2.</w:t>
      </w:r>
      <w:r w:rsidR="004C5446" w:rsidRPr="000A1EE9">
        <w:rPr>
          <w:b/>
          <w:sz w:val="22"/>
          <w:szCs w:val="22"/>
        </w:rPr>
        <w:t>6</w:t>
      </w:r>
      <w:r w:rsidRPr="000A1EE9">
        <w:rPr>
          <w:b/>
          <w:sz w:val="22"/>
          <w:szCs w:val="22"/>
        </w:rPr>
        <w:t xml:space="preserve">. </w:t>
      </w:r>
      <w:r w:rsidR="00A842C9" w:rsidRPr="000A1EE9">
        <w:rPr>
          <w:sz w:val="22"/>
          <w:szCs w:val="22"/>
        </w:rPr>
        <w:t xml:space="preserve">Эмитент (самостоятельно или через Андеррайтера) намеревается заключать </w:t>
      </w:r>
      <w:r w:rsidR="00D10409" w:rsidRPr="000A1EE9">
        <w:rPr>
          <w:sz w:val="22"/>
          <w:szCs w:val="22"/>
        </w:rPr>
        <w:t>предварительн</w:t>
      </w:r>
      <w:r w:rsidR="00A842C9" w:rsidRPr="000A1EE9">
        <w:rPr>
          <w:sz w:val="22"/>
          <w:szCs w:val="22"/>
        </w:rPr>
        <w:t>ые договоры</w:t>
      </w:r>
      <w:r w:rsidR="00ED3FC4" w:rsidRPr="000A1EE9">
        <w:rPr>
          <w:sz w:val="22"/>
          <w:szCs w:val="22"/>
        </w:rPr>
        <w:t>, направленные на отчуждение размещаемых ценных бумаг первому владельцу</w:t>
      </w:r>
      <w:r w:rsidR="00A842C9" w:rsidRPr="000A1EE9">
        <w:rPr>
          <w:sz w:val="22"/>
          <w:szCs w:val="22"/>
        </w:rPr>
        <w:t>.</w:t>
      </w:r>
    </w:p>
    <w:p w14:paraId="17505058" w14:textId="2AC8DDF6" w:rsidR="00A842C9" w:rsidRPr="000A1EE9" w:rsidRDefault="00A842C9" w:rsidP="000A1EE9">
      <w:pPr>
        <w:pStyle w:val="Default"/>
        <w:spacing w:after="200"/>
        <w:ind w:firstLine="567"/>
        <w:jc w:val="both"/>
        <w:rPr>
          <w:bCs/>
          <w:iCs/>
          <w:color w:val="auto"/>
          <w:sz w:val="22"/>
          <w:szCs w:val="22"/>
        </w:rPr>
      </w:pPr>
      <w:r w:rsidRPr="000A1EE9">
        <w:rPr>
          <w:bCs/>
          <w:iCs/>
          <w:color w:val="auto"/>
          <w:sz w:val="22"/>
          <w:szCs w:val="22"/>
        </w:rPr>
        <w:t xml:space="preserve">Заключение </w:t>
      </w:r>
      <w:r w:rsidR="00D10409" w:rsidRPr="000A1EE9">
        <w:rPr>
          <w:bCs/>
          <w:iCs/>
          <w:color w:val="auto"/>
          <w:sz w:val="22"/>
          <w:szCs w:val="22"/>
        </w:rPr>
        <w:t>предварительн</w:t>
      </w:r>
      <w:r w:rsidRPr="000A1EE9">
        <w:rPr>
          <w:bCs/>
          <w:iCs/>
          <w:color w:val="auto"/>
          <w:sz w:val="22"/>
          <w:szCs w:val="22"/>
        </w:rPr>
        <w:t xml:space="preserve">ых договоров осуществляется путем акцепта </w:t>
      </w:r>
      <w:r w:rsidR="00D10409" w:rsidRPr="000A1EE9">
        <w:rPr>
          <w:bCs/>
          <w:iCs/>
          <w:color w:val="auto"/>
          <w:sz w:val="22"/>
          <w:szCs w:val="22"/>
        </w:rPr>
        <w:t>эмитент</w:t>
      </w:r>
      <w:r w:rsidRPr="000A1EE9">
        <w:rPr>
          <w:bCs/>
          <w:iCs/>
          <w:color w:val="auto"/>
          <w:sz w:val="22"/>
          <w:szCs w:val="22"/>
        </w:rPr>
        <w:t xml:space="preserve">ом или Андеррайтером предложений (оферт) от потенциальных инвесторов о заключении таких </w:t>
      </w:r>
      <w:r w:rsidR="00D10409" w:rsidRPr="000A1EE9">
        <w:rPr>
          <w:bCs/>
          <w:iCs/>
          <w:color w:val="auto"/>
          <w:sz w:val="22"/>
          <w:szCs w:val="22"/>
        </w:rPr>
        <w:t>предварительн</w:t>
      </w:r>
      <w:r w:rsidRPr="000A1EE9">
        <w:rPr>
          <w:bCs/>
          <w:iCs/>
          <w:color w:val="auto"/>
          <w:sz w:val="22"/>
          <w:szCs w:val="22"/>
        </w:rPr>
        <w:t xml:space="preserve">ых договоров, в соответствии с которыми </w:t>
      </w:r>
      <w:r w:rsidR="00D10409" w:rsidRPr="000A1EE9">
        <w:rPr>
          <w:bCs/>
          <w:iCs/>
          <w:color w:val="auto"/>
          <w:sz w:val="22"/>
          <w:szCs w:val="22"/>
        </w:rPr>
        <w:t>потенциальн</w:t>
      </w:r>
      <w:r w:rsidRPr="000A1EE9">
        <w:rPr>
          <w:bCs/>
          <w:iCs/>
          <w:color w:val="auto"/>
          <w:sz w:val="22"/>
          <w:szCs w:val="22"/>
        </w:rPr>
        <w:t xml:space="preserve">ый покупатель и </w:t>
      </w:r>
      <w:r w:rsidR="00D10409" w:rsidRPr="000A1EE9">
        <w:rPr>
          <w:bCs/>
          <w:iCs/>
          <w:color w:val="auto"/>
          <w:sz w:val="22"/>
          <w:szCs w:val="22"/>
        </w:rPr>
        <w:t>эмитент</w:t>
      </w:r>
      <w:r w:rsidRPr="000A1EE9">
        <w:rPr>
          <w:bCs/>
          <w:iCs/>
          <w:color w:val="auto"/>
          <w:sz w:val="22"/>
          <w:szCs w:val="22"/>
        </w:rPr>
        <w:t xml:space="preserve"> (через Андеррайтера) обязуются заключить в дату начала размещения Облигаций основные договоры купли-продажи Облигаций. При этом любое предложение (оферта) о заключении </w:t>
      </w:r>
      <w:r w:rsidR="00D10409" w:rsidRPr="000A1EE9">
        <w:rPr>
          <w:bCs/>
          <w:iCs/>
          <w:color w:val="auto"/>
          <w:sz w:val="22"/>
          <w:szCs w:val="22"/>
        </w:rPr>
        <w:t>предварительн</w:t>
      </w:r>
      <w:r w:rsidRPr="000A1EE9">
        <w:rPr>
          <w:bCs/>
          <w:iCs/>
          <w:color w:val="auto"/>
          <w:sz w:val="22"/>
          <w:szCs w:val="22"/>
        </w:rPr>
        <w:t xml:space="preserve">ого договора по усмотрению </w:t>
      </w:r>
      <w:r w:rsidR="00D10409" w:rsidRPr="000A1EE9">
        <w:rPr>
          <w:bCs/>
          <w:iCs/>
          <w:color w:val="auto"/>
          <w:sz w:val="22"/>
          <w:szCs w:val="22"/>
        </w:rPr>
        <w:t>эмитент</w:t>
      </w:r>
      <w:r w:rsidRPr="000A1EE9">
        <w:rPr>
          <w:bCs/>
          <w:iCs/>
          <w:color w:val="auto"/>
          <w:sz w:val="22"/>
          <w:szCs w:val="22"/>
        </w:rPr>
        <w:t>а может быть отклонено, акцептовано полностью или в части.</w:t>
      </w:r>
    </w:p>
    <w:p w14:paraId="7F2700B4" w14:textId="1F80CD38" w:rsidR="00A842C9" w:rsidRPr="000A1EE9" w:rsidRDefault="00A842C9" w:rsidP="000A1EE9">
      <w:pPr>
        <w:pStyle w:val="Default"/>
        <w:spacing w:after="200"/>
        <w:ind w:firstLine="567"/>
        <w:jc w:val="both"/>
        <w:rPr>
          <w:bCs/>
          <w:iCs/>
          <w:color w:val="auto"/>
          <w:sz w:val="22"/>
          <w:szCs w:val="22"/>
        </w:rPr>
      </w:pPr>
      <w:r w:rsidRPr="000A1EE9">
        <w:rPr>
          <w:bCs/>
          <w:iCs/>
          <w:color w:val="auto"/>
          <w:sz w:val="22"/>
          <w:szCs w:val="22"/>
        </w:rPr>
        <w:t xml:space="preserve">Акцепт оферт от </w:t>
      </w:r>
      <w:r w:rsidR="00D10409" w:rsidRPr="000A1EE9">
        <w:rPr>
          <w:bCs/>
          <w:iCs/>
          <w:color w:val="auto"/>
          <w:sz w:val="22"/>
          <w:szCs w:val="22"/>
        </w:rPr>
        <w:t>потенциальн</w:t>
      </w:r>
      <w:r w:rsidRPr="000A1EE9">
        <w:rPr>
          <w:bCs/>
          <w:iCs/>
          <w:color w:val="auto"/>
          <w:sz w:val="22"/>
          <w:szCs w:val="22"/>
        </w:rPr>
        <w:t xml:space="preserve">ых покупателей Облигаций на заключение </w:t>
      </w:r>
      <w:r w:rsidR="00D10409" w:rsidRPr="000A1EE9">
        <w:rPr>
          <w:bCs/>
          <w:iCs/>
          <w:color w:val="auto"/>
          <w:sz w:val="22"/>
          <w:szCs w:val="22"/>
        </w:rPr>
        <w:t>предварительн</w:t>
      </w:r>
      <w:r w:rsidRPr="000A1EE9">
        <w:rPr>
          <w:bCs/>
          <w:iCs/>
          <w:color w:val="auto"/>
          <w:sz w:val="22"/>
          <w:szCs w:val="22"/>
        </w:rPr>
        <w:t xml:space="preserve">ых договоров направляется </w:t>
      </w:r>
      <w:r w:rsidR="00D10409" w:rsidRPr="000A1EE9">
        <w:rPr>
          <w:bCs/>
          <w:iCs/>
          <w:color w:val="auto"/>
          <w:sz w:val="22"/>
          <w:szCs w:val="22"/>
        </w:rPr>
        <w:t>эмитент</w:t>
      </w:r>
      <w:r w:rsidRPr="000A1EE9">
        <w:rPr>
          <w:bCs/>
          <w:iCs/>
          <w:color w:val="auto"/>
          <w:sz w:val="22"/>
          <w:szCs w:val="22"/>
        </w:rPr>
        <w:t xml:space="preserve">ом или Андеррайтером способом, указанным в оферте </w:t>
      </w:r>
      <w:r w:rsidR="00D10409" w:rsidRPr="000A1EE9">
        <w:rPr>
          <w:bCs/>
          <w:iCs/>
          <w:color w:val="auto"/>
          <w:sz w:val="22"/>
          <w:szCs w:val="22"/>
        </w:rPr>
        <w:t>потенциальн</w:t>
      </w:r>
      <w:r w:rsidRPr="000A1EE9">
        <w:rPr>
          <w:bCs/>
          <w:iCs/>
          <w:color w:val="auto"/>
          <w:sz w:val="22"/>
          <w:szCs w:val="22"/>
        </w:rPr>
        <w:t>ого покупателя Облигаций, не позднее даты, непосредственно предшествующей дате начала размещения Облигаций.</w:t>
      </w:r>
    </w:p>
    <w:p w14:paraId="1652F733" w14:textId="5A661233" w:rsidR="00A842C9" w:rsidRPr="000A1EE9" w:rsidRDefault="00A842C9" w:rsidP="000A1EE9">
      <w:pPr>
        <w:pStyle w:val="Default"/>
        <w:spacing w:after="200"/>
        <w:ind w:firstLine="567"/>
        <w:jc w:val="both"/>
        <w:rPr>
          <w:bCs/>
          <w:iCs/>
          <w:color w:val="auto"/>
          <w:sz w:val="22"/>
          <w:szCs w:val="22"/>
        </w:rPr>
      </w:pPr>
      <w:r w:rsidRPr="000A1EE9">
        <w:rPr>
          <w:bCs/>
          <w:iCs/>
          <w:color w:val="auto"/>
          <w:sz w:val="22"/>
          <w:szCs w:val="22"/>
        </w:rPr>
        <w:t xml:space="preserve">Моментом заключения </w:t>
      </w:r>
      <w:r w:rsidR="00D10409" w:rsidRPr="000A1EE9">
        <w:rPr>
          <w:bCs/>
          <w:iCs/>
          <w:color w:val="auto"/>
          <w:sz w:val="22"/>
          <w:szCs w:val="22"/>
        </w:rPr>
        <w:t>предварительн</w:t>
      </w:r>
      <w:r w:rsidRPr="000A1EE9">
        <w:rPr>
          <w:bCs/>
          <w:iCs/>
          <w:color w:val="auto"/>
          <w:sz w:val="22"/>
          <w:szCs w:val="22"/>
        </w:rPr>
        <w:t xml:space="preserve">ого договора является получение </w:t>
      </w:r>
      <w:r w:rsidR="00D10409" w:rsidRPr="000A1EE9">
        <w:rPr>
          <w:bCs/>
          <w:iCs/>
          <w:color w:val="auto"/>
          <w:sz w:val="22"/>
          <w:szCs w:val="22"/>
        </w:rPr>
        <w:t>потенциальн</w:t>
      </w:r>
      <w:r w:rsidRPr="000A1EE9">
        <w:rPr>
          <w:bCs/>
          <w:iCs/>
          <w:color w:val="auto"/>
          <w:sz w:val="22"/>
          <w:szCs w:val="22"/>
        </w:rPr>
        <w:t xml:space="preserve">ым покупателем Облигаций акцепта от </w:t>
      </w:r>
      <w:r w:rsidR="00D10409" w:rsidRPr="000A1EE9">
        <w:rPr>
          <w:bCs/>
          <w:iCs/>
          <w:color w:val="auto"/>
          <w:sz w:val="22"/>
          <w:szCs w:val="22"/>
        </w:rPr>
        <w:t>эмитент</w:t>
      </w:r>
      <w:r w:rsidRPr="000A1EE9">
        <w:rPr>
          <w:bCs/>
          <w:iCs/>
          <w:color w:val="auto"/>
          <w:sz w:val="22"/>
          <w:szCs w:val="22"/>
        </w:rPr>
        <w:t xml:space="preserve">а или Андеррайтера на заключение </w:t>
      </w:r>
      <w:r w:rsidR="00D10409" w:rsidRPr="000A1EE9">
        <w:rPr>
          <w:bCs/>
          <w:iCs/>
          <w:color w:val="auto"/>
          <w:sz w:val="22"/>
          <w:szCs w:val="22"/>
        </w:rPr>
        <w:t>предварительн</w:t>
      </w:r>
      <w:r w:rsidRPr="000A1EE9">
        <w:rPr>
          <w:bCs/>
          <w:iCs/>
          <w:color w:val="auto"/>
          <w:sz w:val="22"/>
          <w:szCs w:val="22"/>
        </w:rPr>
        <w:t>ого договора.</w:t>
      </w:r>
    </w:p>
    <w:p w14:paraId="7D0094FD" w14:textId="1101BB16" w:rsidR="00ED3FC4" w:rsidRPr="000A1EE9" w:rsidRDefault="00ED3FC4" w:rsidP="000A1EE9">
      <w:pPr>
        <w:pStyle w:val="Default"/>
        <w:spacing w:after="200"/>
        <w:ind w:firstLine="567"/>
        <w:jc w:val="both"/>
        <w:rPr>
          <w:bCs/>
          <w:iCs/>
          <w:color w:val="auto"/>
          <w:sz w:val="22"/>
          <w:szCs w:val="22"/>
        </w:rPr>
      </w:pPr>
      <w:r w:rsidRPr="000A1EE9">
        <w:rPr>
          <w:bCs/>
          <w:iCs/>
          <w:color w:val="auto"/>
          <w:sz w:val="22"/>
          <w:szCs w:val="22"/>
        </w:rPr>
        <w:t>Срок</w:t>
      </w:r>
      <w:r w:rsidR="00A842C9" w:rsidRPr="000A1EE9">
        <w:rPr>
          <w:bCs/>
          <w:iCs/>
          <w:color w:val="auto"/>
          <w:sz w:val="22"/>
          <w:szCs w:val="22"/>
        </w:rPr>
        <w:t xml:space="preserve"> для направления оферт с предложением заключить </w:t>
      </w:r>
      <w:r w:rsidR="00D10409" w:rsidRPr="000A1EE9">
        <w:rPr>
          <w:bCs/>
          <w:iCs/>
          <w:color w:val="auto"/>
          <w:sz w:val="22"/>
          <w:szCs w:val="22"/>
        </w:rPr>
        <w:t>предварительн</w:t>
      </w:r>
      <w:r w:rsidR="00A842C9" w:rsidRPr="000A1EE9">
        <w:rPr>
          <w:bCs/>
          <w:iCs/>
          <w:color w:val="auto"/>
          <w:sz w:val="22"/>
          <w:szCs w:val="22"/>
        </w:rPr>
        <w:t>ые договоры</w:t>
      </w:r>
      <w:r w:rsidRPr="000A1EE9">
        <w:rPr>
          <w:bCs/>
          <w:iCs/>
          <w:color w:val="auto"/>
          <w:sz w:val="22"/>
          <w:szCs w:val="22"/>
        </w:rPr>
        <w:t xml:space="preserve"> </w:t>
      </w:r>
      <w:r w:rsidR="00FA3444">
        <w:rPr>
          <w:bCs/>
          <w:iCs/>
          <w:color w:val="auto"/>
          <w:sz w:val="22"/>
          <w:szCs w:val="22"/>
        </w:rPr>
        <w:t>–</w:t>
      </w:r>
      <w:r w:rsidRPr="000A1EE9">
        <w:rPr>
          <w:bCs/>
          <w:iCs/>
          <w:color w:val="auto"/>
          <w:sz w:val="22"/>
          <w:szCs w:val="22"/>
        </w:rPr>
        <w:t xml:space="preserve"> </w:t>
      </w:r>
      <w:r w:rsidR="00FA3444">
        <w:rPr>
          <w:bCs/>
          <w:iCs/>
          <w:color w:val="auto"/>
          <w:sz w:val="22"/>
          <w:szCs w:val="22"/>
        </w:rPr>
        <w:t>1</w:t>
      </w:r>
      <w:r w:rsidR="00E325D8">
        <w:rPr>
          <w:bCs/>
          <w:iCs/>
          <w:color w:val="auto"/>
          <w:sz w:val="22"/>
          <w:szCs w:val="22"/>
        </w:rPr>
        <w:t>9</w:t>
      </w:r>
      <w:r w:rsidR="00FA3444">
        <w:rPr>
          <w:bCs/>
          <w:iCs/>
          <w:color w:val="auto"/>
          <w:sz w:val="22"/>
          <w:szCs w:val="22"/>
        </w:rPr>
        <w:t>.06.2020</w:t>
      </w:r>
      <w:r w:rsidR="007A4105" w:rsidRPr="000A1EE9">
        <w:rPr>
          <w:bCs/>
          <w:iCs/>
          <w:color w:val="auto"/>
          <w:sz w:val="22"/>
          <w:szCs w:val="22"/>
        </w:rPr>
        <w:t>.</w:t>
      </w:r>
    </w:p>
    <w:p w14:paraId="2AAFA030" w14:textId="391B35FB" w:rsidR="00A842C9" w:rsidRPr="000A1EE9" w:rsidRDefault="00A842C9" w:rsidP="000A1EE9">
      <w:pPr>
        <w:pStyle w:val="Default"/>
        <w:spacing w:after="200"/>
        <w:ind w:firstLine="567"/>
        <w:jc w:val="both"/>
        <w:rPr>
          <w:bCs/>
          <w:iCs/>
          <w:color w:val="auto"/>
          <w:sz w:val="22"/>
          <w:szCs w:val="22"/>
        </w:rPr>
      </w:pPr>
      <w:r w:rsidRPr="000A1EE9">
        <w:rPr>
          <w:bCs/>
          <w:iCs/>
          <w:color w:val="auto"/>
          <w:sz w:val="22"/>
          <w:szCs w:val="22"/>
        </w:rPr>
        <w:t xml:space="preserve">В направляемых офертах с предложением заключить </w:t>
      </w:r>
      <w:r w:rsidR="00D10409" w:rsidRPr="000A1EE9">
        <w:rPr>
          <w:bCs/>
          <w:iCs/>
          <w:color w:val="auto"/>
          <w:sz w:val="22"/>
          <w:szCs w:val="22"/>
        </w:rPr>
        <w:t>предварительн</w:t>
      </w:r>
      <w:r w:rsidRPr="000A1EE9">
        <w:rPr>
          <w:bCs/>
          <w:iCs/>
          <w:color w:val="auto"/>
          <w:sz w:val="22"/>
          <w:szCs w:val="22"/>
        </w:rPr>
        <w:t xml:space="preserve">ый договор потенциальный приобретатель (инвестор) указывает максимальную сумму, на которую он готов купить Облигации, а также предпочтительный для лица, делающего оферту, способ получения акцепта. Направляя оферту с предложением заключить </w:t>
      </w:r>
      <w:r w:rsidR="00D10409" w:rsidRPr="000A1EE9">
        <w:rPr>
          <w:bCs/>
          <w:iCs/>
          <w:color w:val="auto"/>
          <w:sz w:val="22"/>
          <w:szCs w:val="22"/>
        </w:rPr>
        <w:t>предварительн</w:t>
      </w:r>
      <w:r w:rsidRPr="000A1EE9">
        <w:rPr>
          <w:bCs/>
          <w:iCs/>
          <w:color w:val="auto"/>
          <w:sz w:val="22"/>
          <w:szCs w:val="22"/>
        </w:rPr>
        <w:t>ый договор, потенциальный инвестор соглашается с тем, что она может быть отклонена, акцептована полностью или в части.</w:t>
      </w:r>
    </w:p>
    <w:p w14:paraId="06E3B17E" w14:textId="4F7159DB" w:rsidR="00A842C9" w:rsidRPr="000A1EE9" w:rsidRDefault="00187C05" w:rsidP="000A1EE9">
      <w:pPr>
        <w:pStyle w:val="Default"/>
        <w:spacing w:after="200"/>
        <w:ind w:firstLine="567"/>
        <w:jc w:val="both"/>
        <w:rPr>
          <w:bCs/>
          <w:iCs/>
          <w:color w:val="auto"/>
          <w:sz w:val="22"/>
          <w:szCs w:val="22"/>
        </w:rPr>
      </w:pPr>
      <w:r w:rsidRPr="000A1EE9">
        <w:rPr>
          <w:bCs/>
          <w:iCs/>
          <w:color w:val="auto"/>
          <w:sz w:val="22"/>
          <w:szCs w:val="22"/>
        </w:rPr>
        <w:t>Д</w:t>
      </w:r>
      <w:r w:rsidR="00A842C9" w:rsidRPr="000A1EE9">
        <w:rPr>
          <w:bCs/>
          <w:iCs/>
          <w:color w:val="auto"/>
          <w:sz w:val="22"/>
          <w:szCs w:val="22"/>
        </w:rPr>
        <w:t xml:space="preserve">ата окончания срока для направления оферт от </w:t>
      </w:r>
      <w:r w:rsidR="00D10409" w:rsidRPr="000A1EE9">
        <w:rPr>
          <w:bCs/>
          <w:iCs/>
          <w:color w:val="auto"/>
          <w:sz w:val="22"/>
          <w:szCs w:val="22"/>
        </w:rPr>
        <w:t>потенциальн</w:t>
      </w:r>
      <w:r w:rsidR="00A842C9" w:rsidRPr="000A1EE9">
        <w:rPr>
          <w:bCs/>
          <w:iCs/>
          <w:color w:val="auto"/>
          <w:sz w:val="22"/>
          <w:szCs w:val="22"/>
        </w:rPr>
        <w:t xml:space="preserve">ых покупателей на заключение </w:t>
      </w:r>
      <w:r w:rsidR="00D10409" w:rsidRPr="000A1EE9">
        <w:rPr>
          <w:bCs/>
          <w:iCs/>
          <w:color w:val="auto"/>
          <w:sz w:val="22"/>
          <w:szCs w:val="22"/>
        </w:rPr>
        <w:t>предварительн</w:t>
      </w:r>
      <w:r w:rsidR="00A842C9" w:rsidRPr="000A1EE9">
        <w:rPr>
          <w:bCs/>
          <w:iCs/>
          <w:color w:val="auto"/>
          <w:sz w:val="22"/>
          <w:szCs w:val="22"/>
        </w:rPr>
        <w:t xml:space="preserve">ых договоров может быть изменена решением </w:t>
      </w:r>
      <w:r w:rsidR="00D10409" w:rsidRPr="000A1EE9">
        <w:rPr>
          <w:bCs/>
          <w:iCs/>
          <w:color w:val="auto"/>
          <w:sz w:val="22"/>
          <w:szCs w:val="22"/>
        </w:rPr>
        <w:t>эмитент</w:t>
      </w:r>
      <w:r w:rsidR="00A842C9" w:rsidRPr="000A1EE9">
        <w:rPr>
          <w:bCs/>
          <w:iCs/>
          <w:color w:val="auto"/>
          <w:sz w:val="22"/>
          <w:szCs w:val="22"/>
        </w:rPr>
        <w:t xml:space="preserve">а. Информация о таком изменении раскрывается в форме сообщения в Ленте новостей и на Странице в сети Интернет и не позднее даты окончания срока для направления оферт от </w:t>
      </w:r>
      <w:r w:rsidR="00D10409" w:rsidRPr="000A1EE9">
        <w:rPr>
          <w:bCs/>
          <w:iCs/>
          <w:color w:val="auto"/>
          <w:sz w:val="22"/>
          <w:szCs w:val="22"/>
        </w:rPr>
        <w:t>потенциальн</w:t>
      </w:r>
      <w:r w:rsidR="00A842C9" w:rsidRPr="000A1EE9">
        <w:rPr>
          <w:bCs/>
          <w:iCs/>
          <w:color w:val="auto"/>
          <w:sz w:val="22"/>
          <w:szCs w:val="22"/>
        </w:rPr>
        <w:t xml:space="preserve">ых покупателей на заключение </w:t>
      </w:r>
      <w:r w:rsidR="00D10409" w:rsidRPr="000A1EE9">
        <w:rPr>
          <w:bCs/>
          <w:iCs/>
          <w:color w:val="auto"/>
          <w:sz w:val="22"/>
          <w:szCs w:val="22"/>
        </w:rPr>
        <w:t>предварительн</w:t>
      </w:r>
      <w:r w:rsidR="00A842C9" w:rsidRPr="000A1EE9">
        <w:rPr>
          <w:bCs/>
          <w:iCs/>
          <w:color w:val="auto"/>
          <w:sz w:val="22"/>
          <w:szCs w:val="22"/>
        </w:rPr>
        <w:t>ых договоров.</w:t>
      </w:r>
    </w:p>
    <w:p w14:paraId="3B45370B" w14:textId="26D2A9D4" w:rsidR="00B501EC" w:rsidRPr="000A1EE9" w:rsidRDefault="00DF213F" w:rsidP="000A1EE9">
      <w:pPr>
        <w:pStyle w:val="1"/>
        <w:spacing w:after="200"/>
        <w:ind w:firstLine="567"/>
        <w:rPr>
          <w:sz w:val="22"/>
          <w:szCs w:val="22"/>
        </w:rPr>
      </w:pPr>
      <w:r w:rsidRPr="000A1EE9">
        <w:rPr>
          <w:b/>
          <w:sz w:val="22"/>
          <w:szCs w:val="22"/>
        </w:rPr>
        <w:t>4.2.</w:t>
      </w:r>
      <w:r w:rsidR="004C5446" w:rsidRPr="000A1EE9">
        <w:rPr>
          <w:b/>
          <w:sz w:val="22"/>
          <w:szCs w:val="22"/>
        </w:rPr>
        <w:t>7</w:t>
      </w:r>
      <w:r w:rsidRPr="000A1EE9">
        <w:rPr>
          <w:b/>
          <w:sz w:val="22"/>
          <w:szCs w:val="22"/>
        </w:rPr>
        <w:t>.</w:t>
      </w:r>
      <w:r w:rsidRPr="000A1EE9">
        <w:rPr>
          <w:sz w:val="22"/>
          <w:szCs w:val="22"/>
        </w:rPr>
        <w:t xml:space="preserve"> </w:t>
      </w:r>
      <w:r w:rsidR="00B501EC" w:rsidRPr="000A1EE9">
        <w:rPr>
          <w:sz w:val="22"/>
          <w:szCs w:val="22"/>
        </w:rPr>
        <w:t xml:space="preserve">Размещение Облигаций осуществляется </w:t>
      </w:r>
      <w:r w:rsidR="00D10409" w:rsidRPr="000A1EE9">
        <w:rPr>
          <w:sz w:val="22"/>
          <w:szCs w:val="22"/>
        </w:rPr>
        <w:t>эмитент</w:t>
      </w:r>
      <w:r w:rsidR="00B501EC" w:rsidRPr="000A1EE9">
        <w:rPr>
          <w:sz w:val="22"/>
          <w:szCs w:val="22"/>
        </w:rPr>
        <w:t>ом с привлечением профессиональн</w:t>
      </w:r>
      <w:r w:rsidR="0048698D" w:rsidRPr="000A1EE9">
        <w:rPr>
          <w:sz w:val="22"/>
          <w:szCs w:val="22"/>
        </w:rPr>
        <w:t>ого</w:t>
      </w:r>
      <w:r w:rsidR="00B501EC" w:rsidRPr="000A1EE9">
        <w:rPr>
          <w:sz w:val="22"/>
          <w:szCs w:val="22"/>
        </w:rPr>
        <w:t xml:space="preserve"> участник</w:t>
      </w:r>
      <w:r w:rsidR="0048698D" w:rsidRPr="000A1EE9">
        <w:rPr>
          <w:sz w:val="22"/>
          <w:szCs w:val="22"/>
        </w:rPr>
        <w:t>а</w:t>
      </w:r>
      <w:r w:rsidR="00B501EC" w:rsidRPr="000A1EE9">
        <w:rPr>
          <w:sz w:val="22"/>
          <w:szCs w:val="22"/>
        </w:rPr>
        <w:t xml:space="preserve"> рынка ценных бумаг, оказывающ</w:t>
      </w:r>
      <w:r w:rsidR="0048698D" w:rsidRPr="000A1EE9">
        <w:rPr>
          <w:sz w:val="22"/>
          <w:szCs w:val="22"/>
        </w:rPr>
        <w:t>его</w:t>
      </w:r>
      <w:r w:rsidR="00B501EC" w:rsidRPr="000A1EE9">
        <w:rPr>
          <w:sz w:val="22"/>
          <w:szCs w:val="22"/>
        </w:rPr>
        <w:t xml:space="preserve"> </w:t>
      </w:r>
      <w:r w:rsidR="00D10409" w:rsidRPr="000A1EE9">
        <w:rPr>
          <w:sz w:val="22"/>
          <w:szCs w:val="22"/>
        </w:rPr>
        <w:t>эмитент</w:t>
      </w:r>
      <w:r w:rsidR="00B501EC" w:rsidRPr="000A1EE9">
        <w:rPr>
          <w:sz w:val="22"/>
          <w:szCs w:val="22"/>
        </w:rPr>
        <w:t>у услуги по размещению и организации размещения ценных бумаг</w:t>
      </w:r>
      <w:r w:rsidR="0048698D" w:rsidRPr="000A1EE9">
        <w:rPr>
          <w:sz w:val="22"/>
          <w:szCs w:val="22"/>
        </w:rPr>
        <w:t xml:space="preserve"> – Андеррайтера.</w:t>
      </w:r>
    </w:p>
    <w:p w14:paraId="791DD363" w14:textId="14133D27" w:rsidR="0048698D" w:rsidRPr="000A1EE9" w:rsidRDefault="00B501EC" w:rsidP="000A1EE9">
      <w:pPr>
        <w:pStyle w:val="Default"/>
        <w:spacing w:after="200"/>
        <w:ind w:firstLine="567"/>
        <w:jc w:val="both"/>
        <w:rPr>
          <w:bCs/>
          <w:iCs/>
          <w:color w:val="auto"/>
          <w:sz w:val="22"/>
          <w:szCs w:val="22"/>
        </w:rPr>
      </w:pPr>
      <w:r w:rsidRPr="000A1EE9">
        <w:rPr>
          <w:bCs/>
          <w:iCs/>
          <w:color w:val="auto"/>
          <w:sz w:val="22"/>
          <w:szCs w:val="22"/>
        </w:rPr>
        <w:t>Андеррайтером является Акционерное общество ВТБ Капитал</w:t>
      </w:r>
      <w:r w:rsidR="0048698D" w:rsidRPr="000A1EE9">
        <w:rPr>
          <w:bCs/>
          <w:iCs/>
          <w:color w:val="auto"/>
          <w:sz w:val="22"/>
          <w:szCs w:val="22"/>
        </w:rPr>
        <w:t xml:space="preserve"> (место нахождения: 123112, г. Москва, Пресненская набережная, д. 12, ОГРН 1067746393780)</w:t>
      </w:r>
    </w:p>
    <w:p w14:paraId="695D815A" w14:textId="0843784D" w:rsidR="00B501EC" w:rsidRPr="000A1EE9" w:rsidRDefault="00B501EC" w:rsidP="000A1EE9">
      <w:pPr>
        <w:pStyle w:val="Default"/>
        <w:spacing w:after="200"/>
        <w:ind w:firstLine="567"/>
        <w:jc w:val="both"/>
        <w:rPr>
          <w:bCs/>
          <w:iCs/>
          <w:color w:val="auto"/>
          <w:sz w:val="22"/>
          <w:szCs w:val="22"/>
        </w:rPr>
      </w:pPr>
      <w:r w:rsidRPr="000A1EE9">
        <w:rPr>
          <w:bCs/>
          <w:iCs/>
          <w:color w:val="auto"/>
          <w:sz w:val="22"/>
          <w:szCs w:val="22"/>
        </w:rPr>
        <w:t xml:space="preserve">Андеррайтер действует от своего имени, но по поручению и за счет </w:t>
      </w:r>
      <w:r w:rsidR="00D10409" w:rsidRPr="000A1EE9">
        <w:rPr>
          <w:bCs/>
          <w:iCs/>
          <w:color w:val="auto"/>
          <w:sz w:val="22"/>
          <w:szCs w:val="22"/>
        </w:rPr>
        <w:t>эмитент</w:t>
      </w:r>
      <w:r w:rsidRPr="000A1EE9">
        <w:rPr>
          <w:bCs/>
          <w:iCs/>
          <w:color w:val="auto"/>
          <w:sz w:val="22"/>
          <w:szCs w:val="22"/>
        </w:rPr>
        <w:t xml:space="preserve">а. </w:t>
      </w:r>
    </w:p>
    <w:p w14:paraId="61C2A5F7" w14:textId="77777777" w:rsidR="00B501EC" w:rsidRPr="000A1EE9" w:rsidRDefault="00B501EC" w:rsidP="000A1EE9">
      <w:pPr>
        <w:pStyle w:val="Default"/>
        <w:spacing w:after="200"/>
        <w:ind w:firstLine="567"/>
        <w:jc w:val="both"/>
        <w:rPr>
          <w:bCs/>
          <w:iCs/>
          <w:color w:val="auto"/>
          <w:sz w:val="22"/>
          <w:szCs w:val="22"/>
        </w:rPr>
      </w:pPr>
      <w:r w:rsidRPr="000A1EE9">
        <w:rPr>
          <w:bCs/>
          <w:iCs/>
          <w:color w:val="auto"/>
          <w:sz w:val="22"/>
          <w:szCs w:val="22"/>
        </w:rPr>
        <w:t>Андеррайтер действует на основании соглашения об андеррайтинге.</w:t>
      </w:r>
    </w:p>
    <w:p w14:paraId="54804B2C" w14:textId="2DA27A70" w:rsidR="003A5565" w:rsidRPr="000A1EE9" w:rsidRDefault="0048698D" w:rsidP="000A1EE9">
      <w:pPr>
        <w:pStyle w:val="Default"/>
        <w:spacing w:after="200"/>
        <w:ind w:firstLine="567"/>
        <w:jc w:val="both"/>
        <w:rPr>
          <w:bCs/>
          <w:iCs/>
          <w:color w:val="auto"/>
          <w:sz w:val="22"/>
          <w:szCs w:val="22"/>
        </w:rPr>
      </w:pPr>
      <w:r w:rsidRPr="000A1EE9">
        <w:rPr>
          <w:bCs/>
          <w:iCs/>
          <w:color w:val="auto"/>
          <w:sz w:val="22"/>
          <w:szCs w:val="22"/>
        </w:rPr>
        <w:t>Основные обязанности Андеррайтера по соглашению об андеррайтинге</w:t>
      </w:r>
      <w:r w:rsidR="003A5565" w:rsidRPr="000A1EE9">
        <w:rPr>
          <w:bCs/>
          <w:iCs/>
          <w:color w:val="auto"/>
          <w:sz w:val="22"/>
          <w:szCs w:val="22"/>
        </w:rPr>
        <w:t>:</w:t>
      </w:r>
    </w:p>
    <w:p w14:paraId="58D0B817" w14:textId="2E28F21A" w:rsidR="003A5565" w:rsidRPr="000A1EE9" w:rsidRDefault="003A5565" w:rsidP="000A1EE9">
      <w:pPr>
        <w:pStyle w:val="Default"/>
        <w:numPr>
          <w:ilvl w:val="0"/>
          <w:numId w:val="6"/>
        </w:numPr>
        <w:spacing w:after="200"/>
        <w:ind w:firstLine="567"/>
        <w:jc w:val="both"/>
        <w:rPr>
          <w:bCs/>
          <w:iCs/>
          <w:color w:val="auto"/>
          <w:sz w:val="22"/>
          <w:szCs w:val="22"/>
        </w:rPr>
      </w:pPr>
      <w:r w:rsidRPr="000A1EE9">
        <w:rPr>
          <w:bCs/>
          <w:iCs/>
          <w:color w:val="auto"/>
          <w:sz w:val="22"/>
          <w:szCs w:val="22"/>
        </w:rPr>
        <w:t xml:space="preserve">заключение от имени и за счет </w:t>
      </w:r>
      <w:r w:rsidR="00D10409" w:rsidRPr="000A1EE9">
        <w:rPr>
          <w:bCs/>
          <w:iCs/>
          <w:color w:val="auto"/>
          <w:sz w:val="22"/>
          <w:szCs w:val="22"/>
        </w:rPr>
        <w:t>эмитент</w:t>
      </w:r>
      <w:r w:rsidRPr="000A1EE9">
        <w:rPr>
          <w:bCs/>
          <w:iCs/>
          <w:color w:val="auto"/>
          <w:sz w:val="22"/>
          <w:szCs w:val="22"/>
        </w:rPr>
        <w:t xml:space="preserve">а </w:t>
      </w:r>
      <w:r w:rsidR="00D10409" w:rsidRPr="000A1EE9">
        <w:rPr>
          <w:bCs/>
          <w:iCs/>
          <w:color w:val="auto"/>
          <w:sz w:val="22"/>
          <w:szCs w:val="22"/>
        </w:rPr>
        <w:t>предварительн</w:t>
      </w:r>
      <w:r w:rsidRPr="000A1EE9">
        <w:rPr>
          <w:bCs/>
          <w:iCs/>
          <w:color w:val="auto"/>
          <w:sz w:val="22"/>
          <w:szCs w:val="22"/>
        </w:rPr>
        <w:t xml:space="preserve">ых договоров купли-продажи Облигаций с потенциальными инвесторами в соответствии с </w:t>
      </w:r>
      <w:r w:rsidR="0048698D" w:rsidRPr="000A1EE9">
        <w:rPr>
          <w:bCs/>
          <w:iCs/>
          <w:color w:val="auto"/>
          <w:sz w:val="22"/>
          <w:szCs w:val="22"/>
        </w:rPr>
        <w:t>настоящим документом</w:t>
      </w:r>
      <w:r w:rsidRPr="000A1EE9">
        <w:rPr>
          <w:bCs/>
          <w:iCs/>
          <w:color w:val="auto"/>
          <w:sz w:val="22"/>
          <w:szCs w:val="22"/>
        </w:rPr>
        <w:t>;</w:t>
      </w:r>
    </w:p>
    <w:p w14:paraId="5A3333C7" w14:textId="6FE1CF05" w:rsidR="003A5565" w:rsidRPr="000A1EE9" w:rsidRDefault="003A5565" w:rsidP="000A1EE9">
      <w:pPr>
        <w:pStyle w:val="Default"/>
        <w:numPr>
          <w:ilvl w:val="0"/>
          <w:numId w:val="6"/>
        </w:numPr>
        <w:spacing w:after="200"/>
        <w:ind w:firstLine="567"/>
        <w:jc w:val="both"/>
        <w:rPr>
          <w:bCs/>
          <w:iCs/>
          <w:color w:val="auto"/>
          <w:sz w:val="22"/>
          <w:szCs w:val="22"/>
        </w:rPr>
      </w:pPr>
      <w:r w:rsidRPr="000A1EE9">
        <w:rPr>
          <w:bCs/>
          <w:iCs/>
          <w:color w:val="auto"/>
          <w:sz w:val="22"/>
          <w:szCs w:val="22"/>
        </w:rPr>
        <w:lastRenderedPageBreak/>
        <w:t xml:space="preserve">совершение за вознаграждение по поручению и за счет </w:t>
      </w:r>
      <w:r w:rsidR="00D10409" w:rsidRPr="000A1EE9">
        <w:rPr>
          <w:bCs/>
          <w:iCs/>
          <w:color w:val="auto"/>
          <w:sz w:val="22"/>
          <w:szCs w:val="22"/>
        </w:rPr>
        <w:t>эмитент</w:t>
      </w:r>
      <w:r w:rsidRPr="000A1EE9">
        <w:rPr>
          <w:bCs/>
          <w:iCs/>
          <w:color w:val="auto"/>
          <w:sz w:val="22"/>
          <w:szCs w:val="22"/>
        </w:rPr>
        <w:t xml:space="preserve">а сделок по размещению Облигаций; </w:t>
      </w:r>
    </w:p>
    <w:p w14:paraId="795648EF" w14:textId="37941B8E" w:rsidR="003A5565" w:rsidRPr="000A1EE9" w:rsidRDefault="003A5565" w:rsidP="000A1EE9">
      <w:pPr>
        <w:pStyle w:val="Default"/>
        <w:numPr>
          <w:ilvl w:val="0"/>
          <w:numId w:val="6"/>
        </w:numPr>
        <w:spacing w:after="200"/>
        <w:ind w:firstLine="567"/>
        <w:jc w:val="both"/>
        <w:rPr>
          <w:bCs/>
          <w:iCs/>
          <w:color w:val="auto"/>
          <w:sz w:val="22"/>
          <w:szCs w:val="22"/>
        </w:rPr>
      </w:pPr>
      <w:r w:rsidRPr="000A1EE9">
        <w:rPr>
          <w:bCs/>
          <w:iCs/>
          <w:color w:val="auto"/>
          <w:sz w:val="22"/>
          <w:szCs w:val="22"/>
        </w:rPr>
        <w:t xml:space="preserve">организация переговоров и представление </w:t>
      </w:r>
      <w:r w:rsidR="00D10409" w:rsidRPr="000A1EE9">
        <w:rPr>
          <w:bCs/>
          <w:iCs/>
          <w:color w:val="auto"/>
          <w:sz w:val="22"/>
          <w:szCs w:val="22"/>
        </w:rPr>
        <w:t>эмитент</w:t>
      </w:r>
      <w:r w:rsidRPr="000A1EE9">
        <w:rPr>
          <w:bCs/>
          <w:iCs/>
          <w:color w:val="auto"/>
          <w:sz w:val="22"/>
          <w:szCs w:val="22"/>
        </w:rPr>
        <w:t>а в процессе переговоров с потенциальными инвесторами.</w:t>
      </w:r>
    </w:p>
    <w:p w14:paraId="4254EF3D" w14:textId="4A666333" w:rsidR="00B501EC" w:rsidRPr="000A1EE9" w:rsidRDefault="0048698D" w:rsidP="000A1EE9">
      <w:pPr>
        <w:pStyle w:val="Default"/>
        <w:spacing w:after="200"/>
        <w:ind w:firstLine="567"/>
        <w:jc w:val="both"/>
        <w:rPr>
          <w:bCs/>
          <w:iCs/>
          <w:color w:val="auto"/>
          <w:sz w:val="22"/>
          <w:szCs w:val="22"/>
        </w:rPr>
      </w:pPr>
      <w:r w:rsidRPr="000A1EE9">
        <w:rPr>
          <w:bCs/>
          <w:iCs/>
          <w:color w:val="auto"/>
          <w:sz w:val="22"/>
          <w:szCs w:val="22"/>
        </w:rPr>
        <w:t>У</w:t>
      </w:r>
      <w:r w:rsidR="00B501EC" w:rsidRPr="000A1EE9">
        <w:rPr>
          <w:bCs/>
          <w:iCs/>
          <w:color w:val="auto"/>
          <w:sz w:val="22"/>
          <w:szCs w:val="22"/>
        </w:rPr>
        <w:t xml:space="preserve"> </w:t>
      </w:r>
      <w:r w:rsidRPr="000A1EE9">
        <w:rPr>
          <w:bCs/>
          <w:iCs/>
          <w:color w:val="auto"/>
          <w:sz w:val="22"/>
          <w:szCs w:val="22"/>
        </w:rPr>
        <w:t>Андеррайтера отсутствуют обязанности</w:t>
      </w:r>
      <w:r w:rsidR="00B501EC" w:rsidRPr="000A1EE9">
        <w:rPr>
          <w:bCs/>
          <w:iCs/>
          <w:color w:val="auto"/>
          <w:sz w:val="22"/>
          <w:szCs w:val="22"/>
        </w:rPr>
        <w:t xml:space="preserve"> по приобретению не размещенных в срок ценных бумаг.</w:t>
      </w:r>
    </w:p>
    <w:p w14:paraId="4F6ADFAF" w14:textId="11856F39" w:rsidR="00B501EC" w:rsidRPr="000A1EE9" w:rsidRDefault="0048698D" w:rsidP="000A1EE9">
      <w:pPr>
        <w:pStyle w:val="Default"/>
        <w:spacing w:after="200"/>
        <w:ind w:firstLine="567"/>
        <w:jc w:val="both"/>
        <w:rPr>
          <w:bCs/>
          <w:iCs/>
          <w:color w:val="auto"/>
          <w:sz w:val="22"/>
          <w:szCs w:val="22"/>
        </w:rPr>
      </w:pPr>
      <w:r w:rsidRPr="000A1EE9">
        <w:rPr>
          <w:bCs/>
          <w:iCs/>
          <w:color w:val="auto"/>
          <w:sz w:val="22"/>
          <w:szCs w:val="22"/>
        </w:rPr>
        <w:t>У Андеррайтера отсутствуют обязанности</w:t>
      </w:r>
      <w:r w:rsidR="00B501EC" w:rsidRPr="000A1EE9">
        <w:rPr>
          <w:bCs/>
          <w:iCs/>
          <w:color w:val="auto"/>
          <w:sz w:val="22"/>
          <w:szCs w:val="22"/>
        </w:rPr>
        <w:t>, связанны</w:t>
      </w:r>
      <w:r w:rsidRPr="000A1EE9">
        <w:rPr>
          <w:bCs/>
          <w:iCs/>
          <w:color w:val="auto"/>
          <w:sz w:val="22"/>
          <w:szCs w:val="22"/>
        </w:rPr>
        <w:t>е</w:t>
      </w:r>
      <w:r w:rsidR="00B501EC" w:rsidRPr="000A1EE9">
        <w:rPr>
          <w:bCs/>
          <w:iCs/>
          <w:color w:val="auto"/>
          <w:sz w:val="22"/>
          <w:szCs w:val="22"/>
        </w:rPr>
        <w:t xml:space="preserve"> с поддержанием цен на размещаемые ценные бумаги на определенном уровне в течение определенного срока после завершения их размещения (стабилизация), в том числе обязанност</w:t>
      </w:r>
      <w:r w:rsidRPr="000A1EE9">
        <w:rPr>
          <w:bCs/>
          <w:iCs/>
          <w:color w:val="auto"/>
          <w:sz w:val="22"/>
          <w:szCs w:val="22"/>
        </w:rPr>
        <w:t>и, связанные</w:t>
      </w:r>
      <w:r w:rsidR="00B501EC" w:rsidRPr="000A1EE9">
        <w:rPr>
          <w:bCs/>
          <w:iCs/>
          <w:color w:val="auto"/>
          <w:sz w:val="22"/>
          <w:szCs w:val="22"/>
        </w:rPr>
        <w:t xml:space="preserve"> с оказанием услуг маркет</w:t>
      </w:r>
      <w:r w:rsidR="00B501EC" w:rsidRPr="000A1EE9">
        <w:rPr>
          <w:bCs/>
          <w:iCs/>
          <w:color w:val="auto"/>
          <w:sz w:val="22"/>
          <w:szCs w:val="22"/>
        </w:rPr>
        <w:softHyphen/>
        <w:t>мейкера.</w:t>
      </w:r>
    </w:p>
    <w:p w14:paraId="52142553" w14:textId="5477FC9D" w:rsidR="00B501EC" w:rsidRPr="000A1EE9" w:rsidRDefault="00A94BF6" w:rsidP="000A1EE9">
      <w:pPr>
        <w:pStyle w:val="Default"/>
        <w:spacing w:after="200"/>
        <w:ind w:firstLine="567"/>
        <w:jc w:val="both"/>
        <w:rPr>
          <w:bCs/>
          <w:iCs/>
          <w:color w:val="auto"/>
          <w:sz w:val="22"/>
          <w:szCs w:val="22"/>
        </w:rPr>
      </w:pPr>
      <w:r w:rsidRPr="000A1EE9">
        <w:rPr>
          <w:bCs/>
          <w:iCs/>
          <w:color w:val="auto"/>
          <w:sz w:val="22"/>
          <w:szCs w:val="22"/>
        </w:rPr>
        <w:t>У Андеррайтера отсутствует право</w:t>
      </w:r>
      <w:r w:rsidR="00B501EC" w:rsidRPr="000A1EE9">
        <w:rPr>
          <w:bCs/>
          <w:iCs/>
          <w:color w:val="auto"/>
          <w:sz w:val="22"/>
          <w:szCs w:val="22"/>
        </w:rPr>
        <w:t xml:space="preserve"> на приобретение дополнительного количества ценных бумаг эмитента из числа размещенных (находящихся в обращении) ценных бумаг эмитента того же вида, категории (типа), что и размещаемые ценные бумаги, которое может быть реализовано или не реализовано в зависимости от результатов размещения ценных бумаг.</w:t>
      </w:r>
    </w:p>
    <w:p w14:paraId="41510965" w14:textId="77777777" w:rsidR="00D57020" w:rsidRPr="000A1EE9" w:rsidRDefault="00D57020" w:rsidP="000A1EE9">
      <w:pPr>
        <w:pStyle w:val="Default"/>
        <w:spacing w:after="200"/>
        <w:ind w:firstLine="567"/>
        <w:jc w:val="both"/>
        <w:rPr>
          <w:bCs/>
          <w:iCs/>
          <w:color w:val="auto"/>
          <w:sz w:val="22"/>
          <w:szCs w:val="22"/>
        </w:rPr>
      </w:pPr>
      <w:r w:rsidRPr="000A1EE9">
        <w:rPr>
          <w:bCs/>
          <w:iCs/>
          <w:color w:val="auto"/>
          <w:sz w:val="22"/>
          <w:szCs w:val="22"/>
        </w:rPr>
        <w:t>Р</w:t>
      </w:r>
      <w:r w:rsidR="00B501EC" w:rsidRPr="000A1EE9">
        <w:rPr>
          <w:bCs/>
          <w:iCs/>
          <w:color w:val="auto"/>
          <w:sz w:val="22"/>
          <w:szCs w:val="22"/>
        </w:rPr>
        <w:t xml:space="preserve">азмер вознаграждения </w:t>
      </w:r>
      <w:r w:rsidRPr="000A1EE9">
        <w:rPr>
          <w:bCs/>
          <w:iCs/>
          <w:color w:val="auto"/>
          <w:sz w:val="22"/>
          <w:szCs w:val="22"/>
        </w:rPr>
        <w:t xml:space="preserve">Андеррайтера </w:t>
      </w:r>
      <w:r w:rsidR="00B501EC" w:rsidRPr="000A1EE9">
        <w:rPr>
          <w:bCs/>
          <w:iCs/>
          <w:color w:val="auto"/>
          <w:sz w:val="22"/>
          <w:szCs w:val="22"/>
        </w:rPr>
        <w:t xml:space="preserve">определяется на основании соглашения, заключенного между </w:t>
      </w:r>
      <w:r w:rsidR="00D10409" w:rsidRPr="000A1EE9">
        <w:rPr>
          <w:bCs/>
          <w:iCs/>
          <w:color w:val="auto"/>
          <w:sz w:val="22"/>
          <w:szCs w:val="22"/>
        </w:rPr>
        <w:t>эмитент</w:t>
      </w:r>
      <w:r w:rsidR="00B501EC" w:rsidRPr="000A1EE9">
        <w:rPr>
          <w:bCs/>
          <w:iCs/>
          <w:color w:val="auto"/>
          <w:sz w:val="22"/>
          <w:szCs w:val="22"/>
        </w:rPr>
        <w:t xml:space="preserve">ом и Андеррайтером (Организатором) и составляет не более 1% от общей номинальной стоимости Облигаций. </w:t>
      </w:r>
    </w:p>
    <w:p w14:paraId="69E8B871" w14:textId="6F604B6B" w:rsidR="00B501EC" w:rsidRPr="000A1EE9" w:rsidRDefault="00D57020" w:rsidP="000A1EE9">
      <w:pPr>
        <w:pStyle w:val="1"/>
        <w:spacing w:after="200"/>
        <w:ind w:firstLine="567"/>
        <w:rPr>
          <w:sz w:val="22"/>
          <w:szCs w:val="22"/>
        </w:rPr>
      </w:pPr>
      <w:r w:rsidRPr="000A1EE9">
        <w:rPr>
          <w:b/>
          <w:sz w:val="22"/>
          <w:szCs w:val="22"/>
        </w:rPr>
        <w:t>4.2.8.</w:t>
      </w:r>
      <w:r w:rsidRPr="000A1EE9">
        <w:rPr>
          <w:sz w:val="22"/>
          <w:szCs w:val="22"/>
        </w:rPr>
        <w:t xml:space="preserve"> </w:t>
      </w:r>
      <w:r w:rsidR="00B501EC" w:rsidRPr="000A1EE9">
        <w:rPr>
          <w:sz w:val="22"/>
          <w:szCs w:val="22"/>
        </w:rPr>
        <w:t>Размещение Облигаций не предполагается осуществлять за пределами Российской Федерации, в том числе посредством размещения соответствующих иностранных ценных бумаг.</w:t>
      </w:r>
    </w:p>
    <w:p w14:paraId="3A90E2F0" w14:textId="439E0AA2" w:rsidR="003A5565" w:rsidRPr="000A1EE9" w:rsidRDefault="00DF213F" w:rsidP="000A1EE9">
      <w:pPr>
        <w:pStyle w:val="1"/>
        <w:spacing w:after="200"/>
        <w:ind w:firstLine="567"/>
        <w:rPr>
          <w:sz w:val="22"/>
          <w:szCs w:val="22"/>
        </w:rPr>
      </w:pPr>
      <w:r w:rsidRPr="000A1EE9">
        <w:rPr>
          <w:b/>
          <w:sz w:val="22"/>
          <w:szCs w:val="22"/>
        </w:rPr>
        <w:t>4.2.</w:t>
      </w:r>
      <w:r w:rsidR="004C5446" w:rsidRPr="000A1EE9">
        <w:rPr>
          <w:b/>
          <w:sz w:val="22"/>
          <w:szCs w:val="22"/>
        </w:rPr>
        <w:t>9</w:t>
      </w:r>
      <w:r w:rsidRPr="000A1EE9">
        <w:rPr>
          <w:b/>
          <w:sz w:val="22"/>
          <w:szCs w:val="22"/>
        </w:rPr>
        <w:t>.</w:t>
      </w:r>
      <w:r w:rsidRPr="000A1EE9">
        <w:rPr>
          <w:sz w:val="22"/>
          <w:szCs w:val="22"/>
        </w:rPr>
        <w:t xml:space="preserve"> </w:t>
      </w:r>
      <w:r w:rsidR="003A5565" w:rsidRPr="000A1EE9">
        <w:rPr>
          <w:sz w:val="22"/>
          <w:szCs w:val="22"/>
        </w:rPr>
        <w:t>Эмитент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не является хозяйственным обществом, имеющим стратегическое значение для обеспечения обороны страны и безопасности государства, в связи с чем заключение договоров, направленных на отчуждение Облигаций не требует принятия решения о предварительном согласовании указанных договоров в соответствии с Федеральным законом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p>
    <w:p w14:paraId="273C2682" w14:textId="481D620C" w:rsidR="00A959ED" w:rsidRPr="000A1EE9" w:rsidRDefault="00DF213F" w:rsidP="000A1EE9">
      <w:pPr>
        <w:pStyle w:val="1"/>
        <w:spacing w:after="200"/>
        <w:ind w:firstLine="567"/>
        <w:rPr>
          <w:sz w:val="22"/>
          <w:szCs w:val="22"/>
        </w:rPr>
      </w:pPr>
      <w:r w:rsidRPr="000A1EE9">
        <w:rPr>
          <w:b/>
          <w:sz w:val="22"/>
          <w:szCs w:val="22"/>
        </w:rPr>
        <w:t>4.2.</w:t>
      </w:r>
      <w:r w:rsidR="004C5446" w:rsidRPr="000A1EE9">
        <w:rPr>
          <w:b/>
          <w:sz w:val="22"/>
          <w:szCs w:val="22"/>
        </w:rPr>
        <w:t>10</w:t>
      </w:r>
      <w:r w:rsidRPr="000A1EE9">
        <w:rPr>
          <w:b/>
          <w:sz w:val="22"/>
          <w:szCs w:val="22"/>
        </w:rPr>
        <w:t>.</w:t>
      </w:r>
      <w:r w:rsidRPr="000A1EE9">
        <w:rPr>
          <w:sz w:val="22"/>
          <w:szCs w:val="22"/>
        </w:rPr>
        <w:t xml:space="preserve"> </w:t>
      </w:r>
      <w:r w:rsidR="00342791" w:rsidRPr="000A1EE9">
        <w:rPr>
          <w:sz w:val="22"/>
          <w:szCs w:val="22"/>
        </w:rPr>
        <w:t>Пункт не применим</w:t>
      </w:r>
      <w:r w:rsidR="00A959ED" w:rsidRPr="000A1EE9">
        <w:rPr>
          <w:sz w:val="22"/>
          <w:szCs w:val="22"/>
        </w:rPr>
        <w:t>.</w:t>
      </w:r>
    </w:p>
    <w:p w14:paraId="6D6627FE" w14:textId="087FACD6" w:rsidR="00A959ED" w:rsidRPr="000A1EE9" w:rsidRDefault="00A77170" w:rsidP="000A1EE9">
      <w:pPr>
        <w:pStyle w:val="1"/>
        <w:spacing w:after="200"/>
        <w:ind w:firstLine="567"/>
        <w:rPr>
          <w:sz w:val="22"/>
          <w:szCs w:val="22"/>
        </w:rPr>
      </w:pPr>
      <w:r w:rsidRPr="000A1EE9">
        <w:rPr>
          <w:b/>
          <w:sz w:val="22"/>
          <w:szCs w:val="22"/>
        </w:rPr>
        <w:t>4.2.1</w:t>
      </w:r>
      <w:r w:rsidR="004C5446" w:rsidRPr="000A1EE9">
        <w:rPr>
          <w:b/>
          <w:sz w:val="22"/>
          <w:szCs w:val="22"/>
        </w:rPr>
        <w:t>1</w:t>
      </w:r>
      <w:r w:rsidRPr="000A1EE9">
        <w:rPr>
          <w:b/>
          <w:sz w:val="22"/>
          <w:szCs w:val="22"/>
        </w:rPr>
        <w:t>.</w:t>
      </w:r>
      <w:r w:rsidRPr="000A1EE9">
        <w:rPr>
          <w:sz w:val="22"/>
          <w:szCs w:val="22"/>
        </w:rPr>
        <w:t xml:space="preserve"> </w:t>
      </w:r>
      <w:r w:rsidR="00A959ED" w:rsidRPr="000A1EE9">
        <w:rPr>
          <w:sz w:val="22"/>
          <w:szCs w:val="22"/>
        </w:rPr>
        <w:t>Облигации не размещаются среди инвесторов, являющихся участниками инвестиционной платформы.</w:t>
      </w:r>
    </w:p>
    <w:p w14:paraId="416891EB" w14:textId="77777777" w:rsidR="00DF213F" w:rsidRPr="000A1EE9" w:rsidRDefault="00DF213F" w:rsidP="000A1EE9">
      <w:pPr>
        <w:pStyle w:val="1"/>
        <w:spacing w:after="200"/>
        <w:ind w:firstLine="567"/>
        <w:rPr>
          <w:b/>
          <w:sz w:val="22"/>
          <w:szCs w:val="22"/>
        </w:rPr>
      </w:pPr>
      <w:r w:rsidRPr="000A1EE9">
        <w:rPr>
          <w:b/>
          <w:sz w:val="22"/>
          <w:szCs w:val="22"/>
        </w:rPr>
        <w:t>4.3. Цена (цены) или порядок определения цены размещения ценных бумаг</w:t>
      </w:r>
    </w:p>
    <w:p w14:paraId="69450FCD" w14:textId="71A76520" w:rsidR="00BE76E6" w:rsidRPr="000A1EE9" w:rsidRDefault="00BE76E6" w:rsidP="000A1EE9">
      <w:pPr>
        <w:pStyle w:val="Default"/>
        <w:spacing w:after="200"/>
        <w:ind w:firstLine="567"/>
        <w:jc w:val="both"/>
        <w:rPr>
          <w:bCs/>
          <w:iCs/>
          <w:color w:val="auto"/>
          <w:sz w:val="22"/>
          <w:szCs w:val="22"/>
        </w:rPr>
      </w:pPr>
      <w:r w:rsidRPr="000A1EE9">
        <w:rPr>
          <w:bCs/>
          <w:iCs/>
          <w:color w:val="auto"/>
          <w:sz w:val="22"/>
          <w:szCs w:val="22"/>
        </w:rPr>
        <w:t>Цена размещения Облигаций устанавливается равной 1 000 (одной тысяче) российских рублей за одну Облигацию.</w:t>
      </w:r>
    </w:p>
    <w:p w14:paraId="197C089C" w14:textId="77777777" w:rsidR="00BE76E6" w:rsidRPr="000A1EE9" w:rsidRDefault="00BE76E6" w:rsidP="000A1EE9">
      <w:pPr>
        <w:pStyle w:val="Default"/>
        <w:spacing w:after="200"/>
        <w:ind w:firstLine="567"/>
        <w:jc w:val="both"/>
        <w:rPr>
          <w:bCs/>
          <w:iCs/>
          <w:color w:val="auto"/>
          <w:sz w:val="22"/>
          <w:szCs w:val="22"/>
        </w:rPr>
      </w:pPr>
      <w:r w:rsidRPr="000A1EE9">
        <w:rPr>
          <w:bCs/>
          <w:iCs/>
          <w:color w:val="auto"/>
          <w:sz w:val="22"/>
          <w:szCs w:val="22"/>
        </w:rPr>
        <w:t xml:space="preserve">Начиная со второго дня размещения Облигаций, покупатель при приобретении Облигаций, в дополнение к номинальной стоимости, также уплачивает накопленный купонный доход по Облигациям (далее – </w:t>
      </w:r>
      <w:r w:rsidRPr="000A1EE9">
        <w:rPr>
          <w:b/>
          <w:bCs/>
          <w:i/>
          <w:iCs/>
          <w:color w:val="auto"/>
          <w:sz w:val="22"/>
          <w:szCs w:val="22"/>
        </w:rPr>
        <w:t>НКД</w:t>
      </w:r>
      <w:r w:rsidRPr="000A1EE9">
        <w:rPr>
          <w:bCs/>
          <w:iCs/>
          <w:color w:val="auto"/>
          <w:sz w:val="22"/>
          <w:szCs w:val="22"/>
        </w:rPr>
        <w:t>), определяемый по следующей формуле:</w:t>
      </w:r>
    </w:p>
    <w:p w14:paraId="46631A0B" w14:textId="70C78187" w:rsidR="00BE76E6" w:rsidRPr="000A1EE9" w:rsidRDefault="000F34BD" w:rsidP="000A1EE9">
      <w:pPr>
        <w:pStyle w:val="Default"/>
        <w:spacing w:after="200"/>
        <w:ind w:firstLine="567"/>
        <w:jc w:val="both"/>
        <w:rPr>
          <w:bCs/>
          <w:iCs/>
          <w:color w:val="auto"/>
          <w:sz w:val="22"/>
          <w:szCs w:val="22"/>
        </w:rPr>
      </w:pPr>
      <w:r w:rsidRPr="000A1EE9">
        <w:rPr>
          <w:bCs/>
          <w:iCs/>
          <w:color w:val="auto"/>
          <w:sz w:val="22"/>
          <w:szCs w:val="22"/>
        </w:rPr>
        <w:t xml:space="preserve">НКД = </w:t>
      </w:r>
      <w:proofErr w:type="spellStart"/>
      <w:r w:rsidRPr="000A1EE9">
        <w:rPr>
          <w:bCs/>
          <w:iCs/>
          <w:color w:val="auto"/>
          <w:sz w:val="22"/>
          <w:szCs w:val="22"/>
        </w:rPr>
        <w:t>Nom</w:t>
      </w:r>
      <w:proofErr w:type="spellEnd"/>
      <w:r w:rsidRPr="000A1EE9">
        <w:rPr>
          <w:bCs/>
          <w:iCs/>
          <w:color w:val="auto"/>
          <w:sz w:val="22"/>
          <w:szCs w:val="22"/>
        </w:rPr>
        <w:t xml:space="preserve"> * C1 * </w:t>
      </w:r>
      <w:r w:rsidR="00BE76E6" w:rsidRPr="000A1EE9">
        <w:rPr>
          <w:bCs/>
          <w:iCs/>
          <w:color w:val="auto"/>
          <w:sz w:val="22"/>
          <w:szCs w:val="22"/>
        </w:rPr>
        <w:t>(T – T0)</w:t>
      </w:r>
      <w:r w:rsidRPr="000A1EE9">
        <w:rPr>
          <w:bCs/>
          <w:iCs/>
          <w:color w:val="auto"/>
          <w:sz w:val="22"/>
          <w:szCs w:val="22"/>
        </w:rPr>
        <w:t xml:space="preserve"> </w:t>
      </w:r>
      <w:r w:rsidR="00BE76E6" w:rsidRPr="000A1EE9">
        <w:rPr>
          <w:bCs/>
          <w:iCs/>
          <w:color w:val="auto"/>
          <w:sz w:val="22"/>
          <w:szCs w:val="22"/>
        </w:rPr>
        <w:t>/ 365, где:</w:t>
      </w:r>
    </w:p>
    <w:p w14:paraId="62EAFBE0" w14:textId="77777777" w:rsidR="00BE76E6" w:rsidRPr="000A1EE9" w:rsidRDefault="00BE76E6" w:rsidP="000A1EE9">
      <w:pPr>
        <w:pStyle w:val="Default"/>
        <w:spacing w:after="200"/>
        <w:ind w:firstLine="567"/>
        <w:jc w:val="both"/>
        <w:rPr>
          <w:bCs/>
          <w:iCs/>
          <w:color w:val="auto"/>
          <w:sz w:val="22"/>
          <w:szCs w:val="22"/>
        </w:rPr>
      </w:pPr>
      <w:r w:rsidRPr="000A1EE9">
        <w:rPr>
          <w:bCs/>
          <w:iCs/>
          <w:color w:val="auto"/>
          <w:sz w:val="22"/>
          <w:szCs w:val="22"/>
        </w:rPr>
        <w:t>НКД – накопленный купонный доход, в российских рублях;</w:t>
      </w:r>
    </w:p>
    <w:p w14:paraId="6BCD9F15" w14:textId="77777777" w:rsidR="00BE76E6" w:rsidRPr="000A1EE9" w:rsidRDefault="00BE76E6" w:rsidP="000A1EE9">
      <w:pPr>
        <w:pStyle w:val="Default"/>
        <w:spacing w:after="200"/>
        <w:ind w:firstLine="567"/>
        <w:jc w:val="both"/>
        <w:rPr>
          <w:bCs/>
          <w:iCs/>
          <w:color w:val="auto"/>
          <w:sz w:val="22"/>
          <w:szCs w:val="22"/>
        </w:rPr>
      </w:pPr>
      <w:proofErr w:type="spellStart"/>
      <w:r w:rsidRPr="000A1EE9">
        <w:rPr>
          <w:bCs/>
          <w:iCs/>
          <w:color w:val="auto"/>
          <w:sz w:val="22"/>
          <w:szCs w:val="22"/>
        </w:rPr>
        <w:t>Nom</w:t>
      </w:r>
      <w:proofErr w:type="spellEnd"/>
      <w:r w:rsidRPr="000A1EE9">
        <w:rPr>
          <w:bCs/>
          <w:iCs/>
          <w:color w:val="auto"/>
          <w:sz w:val="22"/>
          <w:szCs w:val="22"/>
        </w:rPr>
        <w:t xml:space="preserve"> – номинальная стоимость одной Облигации, в российских рублях;</w:t>
      </w:r>
    </w:p>
    <w:p w14:paraId="4A5CD93F" w14:textId="77777777" w:rsidR="00BE76E6" w:rsidRPr="000A1EE9" w:rsidRDefault="00BE76E6" w:rsidP="000A1EE9">
      <w:pPr>
        <w:pStyle w:val="Default"/>
        <w:spacing w:after="200"/>
        <w:ind w:firstLine="567"/>
        <w:jc w:val="both"/>
        <w:rPr>
          <w:bCs/>
          <w:iCs/>
          <w:color w:val="auto"/>
          <w:sz w:val="22"/>
          <w:szCs w:val="22"/>
        </w:rPr>
      </w:pPr>
      <w:r w:rsidRPr="000A1EE9">
        <w:rPr>
          <w:bCs/>
          <w:iCs/>
          <w:color w:val="auto"/>
          <w:sz w:val="22"/>
          <w:szCs w:val="22"/>
        </w:rPr>
        <w:t>С1 – размер процентной ставки 1-го купона, в процентах годовых;</w:t>
      </w:r>
    </w:p>
    <w:p w14:paraId="67072006" w14:textId="77777777" w:rsidR="00BE76E6" w:rsidRPr="000A1EE9" w:rsidRDefault="00BE76E6" w:rsidP="000A1EE9">
      <w:pPr>
        <w:pStyle w:val="Default"/>
        <w:spacing w:after="200"/>
        <w:ind w:firstLine="567"/>
        <w:jc w:val="both"/>
        <w:rPr>
          <w:bCs/>
          <w:iCs/>
          <w:color w:val="auto"/>
          <w:sz w:val="22"/>
          <w:szCs w:val="22"/>
        </w:rPr>
      </w:pPr>
      <w:r w:rsidRPr="000A1EE9">
        <w:rPr>
          <w:bCs/>
          <w:iCs/>
          <w:color w:val="auto"/>
          <w:sz w:val="22"/>
          <w:szCs w:val="22"/>
        </w:rPr>
        <w:t>T – дата размещения Облигаций, на которую вычисляется НКД;</w:t>
      </w:r>
    </w:p>
    <w:p w14:paraId="176473BA" w14:textId="77777777" w:rsidR="00BE76E6" w:rsidRPr="000A1EE9" w:rsidRDefault="00BE76E6" w:rsidP="000A1EE9">
      <w:pPr>
        <w:pStyle w:val="Default"/>
        <w:spacing w:after="200"/>
        <w:ind w:firstLine="567"/>
        <w:jc w:val="both"/>
        <w:rPr>
          <w:bCs/>
          <w:iCs/>
          <w:color w:val="auto"/>
          <w:sz w:val="22"/>
          <w:szCs w:val="22"/>
        </w:rPr>
      </w:pPr>
      <w:r w:rsidRPr="000A1EE9">
        <w:rPr>
          <w:bCs/>
          <w:iCs/>
          <w:color w:val="auto"/>
          <w:sz w:val="22"/>
          <w:szCs w:val="22"/>
        </w:rPr>
        <w:t>T0 – дата начала размещения Облигаций.</w:t>
      </w:r>
    </w:p>
    <w:p w14:paraId="03B86F7B" w14:textId="77777777" w:rsidR="00BE76E6" w:rsidRPr="000A1EE9" w:rsidRDefault="00BE76E6" w:rsidP="000A1EE9">
      <w:pPr>
        <w:pStyle w:val="Default"/>
        <w:spacing w:after="200"/>
        <w:ind w:firstLine="567"/>
        <w:jc w:val="both"/>
        <w:rPr>
          <w:bCs/>
          <w:iCs/>
          <w:color w:val="auto"/>
          <w:sz w:val="22"/>
          <w:szCs w:val="22"/>
        </w:rPr>
      </w:pPr>
      <w:r w:rsidRPr="000A1EE9">
        <w:rPr>
          <w:bCs/>
          <w:iCs/>
          <w:color w:val="auto"/>
          <w:sz w:val="22"/>
          <w:szCs w:val="22"/>
        </w:rPr>
        <w:lastRenderedPageBreak/>
        <w:t>Величина НКД в расчете на одну Облигацию определяется с точностью до одной копейки (округление производится в меньшую сторону, т.е. значение целой копейки (целых копеек) не изменяется, вне зависимости от того, какая цифра стоит после первой за округляемой). Если общая сумма НКД на одну Облигацию меньше одной копейки, то НКД считается равным одной копейке.</w:t>
      </w:r>
    </w:p>
    <w:p w14:paraId="666A95E1" w14:textId="42071BE8" w:rsidR="00DF213F" w:rsidRPr="000A1EE9" w:rsidRDefault="00DF213F" w:rsidP="000A1EE9">
      <w:pPr>
        <w:pStyle w:val="1"/>
        <w:spacing w:after="200"/>
        <w:ind w:firstLine="567"/>
        <w:rPr>
          <w:b/>
          <w:sz w:val="22"/>
          <w:szCs w:val="22"/>
        </w:rPr>
      </w:pPr>
      <w:r w:rsidRPr="000A1EE9">
        <w:rPr>
          <w:b/>
          <w:sz w:val="22"/>
          <w:szCs w:val="22"/>
        </w:rPr>
        <w:t>4.4. Порядок осуществления преимущественного права приобретения размещаемых ценных бумаг</w:t>
      </w:r>
    </w:p>
    <w:p w14:paraId="25C673DE" w14:textId="27E30C76" w:rsidR="00A959ED" w:rsidRPr="000A1EE9" w:rsidRDefault="00A959ED" w:rsidP="000A1EE9">
      <w:pPr>
        <w:pStyle w:val="Default"/>
        <w:spacing w:after="200"/>
        <w:ind w:firstLine="567"/>
        <w:jc w:val="both"/>
        <w:rPr>
          <w:bCs/>
          <w:iCs/>
          <w:color w:val="auto"/>
          <w:sz w:val="22"/>
          <w:szCs w:val="22"/>
        </w:rPr>
      </w:pPr>
      <w:r w:rsidRPr="000A1EE9">
        <w:rPr>
          <w:bCs/>
          <w:iCs/>
          <w:color w:val="auto"/>
          <w:sz w:val="22"/>
          <w:szCs w:val="22"/>
        </w:rPr>
        <w:t>Преимущественное право приобретения размещаемых ценных бумаг не предусмотрено.</w:t>
      </w:r>
    </w:p>
    <w:p w14:paraId="34C8582D" w14:textId="3BA5389E" w:rsidR="00DF213F" w:rsidRPr="000A1EE9" w:rsidRDefault="00DF213F" w:rsidP="000A1EE9">
      <w:pPr>
        <w:pStyle w:val="1"/>
        <w:spacing w:after="200"/>
        <w:ind w:firstLine="567"/>
        <w:rPr>
          <w:b/>
          <w:sz w:val="22"/>
          <w:szCs w:val="22"/>
        </w:rPr>
      </w:pPr>
      <w:r w:rsidRPr="000A1EE9">
        <w:rPr>
          <w:b/>
          <w:sz w:val="22"/>
          <w:szCs w:val="22"/>
        </w:rPr>
        <w:t>4.5. Условия</w:t>
      </w:r>
      <w:r w:rsidR="000A2DC4" w:rsidRPr="000A1EE9">
        <w:rPr>
          <w:b/>
          <w:sz w:val="22"/>
          <w:szCs w:val="22"/>
        </w:rPr>
        <w:t>,</w:t>
      </w:r>
      <w:r w:rsidRPr="000A1EE9">
        <w:rPr>
          <w:b/>
          <w:sz w:val="22"/>
          <w:szCs w:val="22"/>
        </w:rPr>
        <w:t xml:space="preserve"> порядок</w:t>
      </w:r>
      <w:r w:rsidR="000A2DC4" w:rsidRPr="000A1EE9">
        <w:rPr>
          <w:b/>
          <w:sz w:val="22"/>
          <w:szCs w:val="22"/>
        </w:rPr>
        <w:t xml:space="preserve"> и срок</w:t>
      </w:r>
      <w:r w:rsidRPr="000A1EE9">
        <w:rPr>
          <w:b/>
          <w:sz w:val="22"/>
          <w:szCs w:val="22"/>
        </w:rPr>
        <w:t xml:space="preserve"> оплаты ценных бумаг</w:t>
      </w:r>
    </w:p>
    <w:p w14:paraId="2487064F" w14:textId="5A1D8A59" w:rsidR="00B83FD9" w:rsidRPr="000A1EE9" w:rsidRDefault="00DF213F" w:rsidP="000A1EE9">
      <w:pPr>
        <w:pStyle w:val="1"/>
        <w:spacing w:after="200"/>
        <w:ind w:firstLine="567"/>
        <w:rPr>
          <w:sz w:val="22"/>
          <w:szCs w:val="22"/>
        </w:rPr>
      </w:pPr>
      <w:r w:rsidRPr="000A1EE9">
        <w:rPr>
          <w:b/>
          <w:sz w:val="22"/>
          <w:szCs w:val="22"/>
        </w:rPr>
        <w:t>4.5.1.</w:t>
      </w:r>
      <w:r w:rsidRPr="000A1EE9">
        <w:rPr>
          <w:sz w:val="22"/>
          <w:szCs w:val="22"/>
        </w:rPr>
        <w:t xml:space="preserve"> </w:t>
      </w:r>
      <w:r w:rsidR="00F8158E" w:rsidRPr="000A1EE9">
        <w:rPr>
          <w:sz w:val="22"/>
          <w:szCs w:val="22"/>
        </w:rPr>
        <w:t xml:space="preserve">Облигации оплачиваются </w:t>
      </w:r>
      <w:r w:rsidR="00B83FD9" w:rsidRPr="000A1EE9">
        <w:rPr>
          <w:sz w:val="22"/>
          <w:szCs w:val="22"/>
        </w:rPr>
        <w:t>денежными средствами.</w:t>
      </w:r>
    </w:p>
    <w:p w14:paraId="07F51361" w14:textId="743296DC" w:rsidR="00BE76E6" w:rsidRPr="000A1EE9" w:rsidRDefault="00DF213F" w:rsidP="000A1EE9">
      <w:pPr>
        <w:pStyle w:val="1"/>
        <w:spacing w:after="200"/>
        <w:ind w:firstLine="567"/>
        <w:rPr>
          <w:sz w:val="22"/>
          <w:szCs w:val="22"/>
        </w:rPr>
      </w:pPr>
      <w:r w:rsidRPr="000A1EE9">
        <w:rPr>
          <w:b/>
          <w:sz w:val="22"/>
          <w:szCs w:val="22"/>
        </w:rPr>
        <w:t>4.5.2.</w:t>
      </w:r>
      <w:r w:rsidRPr="000A1EE9">
        <w:rPr>
          <w:sz w:val="22"/>
          <w:szCs w:val="22"/>
        </w:rPr>
        <w:t xml:space="preserve"> </w:t>
      </w:r>
      <w:r w:rsidR="00BE76E6" w:rsidRPr="000A1EE9">
        <w:rPr>
          <w:sz w:val="22"/>
          <w:szCs w:val="22"/>
        </w:rPr>
        <w:t xml:space="preserve">Облигации оплачиваются в денежной форме в рублях Российской Федерации в безналичном порядке. </w:t>
      </w:r>
    </w:p>
    <w:p w14:paraId="38780AD9" w14:textId="77777777" w:rsidR="00F8158E" w:rsidRPr="000A1EE9" w:rsidRDefault="00F8158E" w:rsidP="000A1EE9">
      <w:pPr>
        <w:pStyle w:val="Default"/>
        <w:spacing w:after="200"/>
        <w:ind w:firstLine="567"/>
        <w:jc w:val="both"/>
        <w:rPr>
          <w:bCs/>
          <w:iCs/>
          <w:color w:val="auto"/>
          <w:sz w:val="22"/>
          <w:szCs w:val="22"/>
        </w:rPr>
      </w:pPr>
      <w:r w:rsidRPr="000A1EE9">
        <w:rPr>
          <w:bCs/>
          <w:iCs/>
          <w:color w:val="auto"/>
          <w:sz w:val="22"/>
          <w:szCs w:val="22"/>
        </w:rPr>
        <w:t>Реквизиты счета, на которые должны перечисляться денежные средства в оплату ценных бумаг выпуска:</w:t>
      </w:r>
    </w:p>
    <w:p w14:paraId="70450131" w14:textId="2C918A99" w:rsidR="00F8158E" w:rsidRPr="000A1EE9" w:rsidRDefault="00F8158E" w:rsidP="000A1EE9">
      <w:pPr>
        <w:pStyle w:val="Default"/>
        <w:spacing w:after="200"/>
        <w:ind w:firstLine="567"/>
        <w:jc w:val="both"/>
        <w:rPr>
          <w:bCs/>
          <w:iCs/>
          <w:color w:val="auto"/>
          <w:sz w:val="22"/>
          <w:szCs w:val="22"/>
        </w:rPr>
      </w:pPr>
      <w:r w:rsidRPr="000A1EE9">
        <w:rPr>
          <w:bCs/>
          <w:iCs/>
          <w:color w:val="auto"/>
          <w:sz w:val="22"/>
          <w:szCs w:val="22"/>
        </w:rPr>
        <w:t>Сведения о кредитной организации, в которой открыт счёт, на который должны перечисляться денежные средства, поступающие в оплату ценных бумаг:</w:t>
      </w:r>
    </w:p>
    <w:p w14:paraId="73E5BA40" w14:textId="2DFBA3D7" w:rsidR="000F34BD" w:rsidRPr="000A1EE9" w:rsidRDefault="000F34BD" w:rsidP="000A1EE9">
      <w:pPr>
        <w:pStyle w:val="Default"/>
        <w:spacing w:after="200"/>
        <w:ind w:firstLine="567"/>
        <w:jc w:val="both"/>
        <w:rPr>
          <w:bCs/>
          <w:iCs/>
          <w:color w:val="auto"/>
          <w:sz w:val="22"/>
          <w:szCs w:val="22"/>
        </w:rPr>
      </w:pPr>
      <w:r w:rsidRPr="000A1EE9">
        <w:rPr>
          <w:bCs/>
          <w:iCs/>
          <w:color w:val="auto"/>
          <w:sz w:val="22"/>
          <w:szCs w:val="22"/>
        </w:rPr>
        <w:t>Полное фирменное наименование: Небанковская кредитная организация акционерное общество «Национальный расчетный депозитарий»</w:t>
      </w:r>
    </w:p>
    <w:p w14:paraId="5539554D" w14:textId="1F5C760A" w:rsidR="000F34BD" w:rsidRPr="000A1EE9" w:rsidRDefault="000F34BD" w:rsidP="000A1EE9">
      <w:pPr>
        <w:pStyle w:val="Default"/>
        <w:spacing w:after="200"/>
        <w:ind w:firstLine="567"/>
        <w:jc w:val="both"/>
        <w:rPr>
          <w:bCs/>
          <w:iCs/>
          <w:color w:val="auto"/>
          <w:sz w:val="22"/>
          <w:szCs w:val="22"/>
        </w:rPr>
      </w:pPr>
      <w:r w:rsidRPr="000A1EE9">
        <w:rPr>
          <w:bCs/>
          <w:iCs/>
          <w:color w:val="auto"/>
          <w:sz w:val="22"/>
          <w:szCs w:val="22"/>
        </w:rPr>
        <w:t>Место нахождения: город Москва, улица Спартаковская, дом 12</w:t>
      </w:r>
    </w:p>
    <w:p w14:paraId="3B3988D4" w14:textId="6DB8F7FC" w:rsidR="000F34BD" w:rsidRPr="000A1EE9" w:rsidRDefault="000F34BD" w:rsidP="000A1EE9">
      <w:pPr>
        <w:pStyle w:val="Default"/>
        <w:spacing w:after="200"/>
        <w:ind w:firstLine="567"/>
        <w:jc w:val="both"/>
        <w:rPr>
          <w:bCs/>
          <w:iCs/>
          <w:color w:val="auto"/>
          <w:sz w:val="22"/>
          <w:szCs w:val="22"/>
        </w:rPr>
      </w:pPr>
      <w:r w:rsidRPr="000A1EE9">
        <w:rPr>
          <w:bCs/>
          <w:iCs/>
          <w:color w:val="auto"/>
          <w:sz w:val="22"/>
          <w:szCs w:val="22"/>
        </w:rPr>
        <w:t>ИНН 7702165310</w:t>
      </w:r>
    </w:p>
    <w:p w14:paraId="29430715" w14:textId="0CEE631B" w:rsidR="000F34BD" w:rsidRPr="000A1EE9" w:rsidRDefault="000F34BD" w:rsidP="000A1EE9">
      <w:pPr>
        <w:pStyle w:val="Default"/>
        <w:spacing w:after="200"/>
        <w:ind w:firstLine="567"/>
        <w:jc w:val="both"/>
        <w:rPr>
          <w:bCs/>
          <w:iCs/>
          <w:color w:val="auto"/>
          <w:sz w:val="22"/>
          <w:szCs w:val="22"/>
        </w:rPr>
      </w:pPr>
      <w:r w:rsidRPr="000A1EE9">
        <w:rPr>
          <w:bCs/>
          <w:iCs/>
          <w:color w:val="auto"/>
          <w:sz w:val="22"/>
          <w:szCs w:val="22"/>
        </w:rPr>
        <w:t>БИК 044525505</w:t>
      </w:r>
    </w:p>
    <w:p w14:paraId="66BCDB7E" w14:textId="3E46E345" w:rsidR="000F34BD" w:rsidRPr="000A1EE9" w:rsidRDefault="000F34BD" w:rsidP="000A1EE9">
      <w:pPr>
        <w:pStyle w:val="Default"/>
        <w:spacing w:after="200"/>
        <w:ind w:firstLine="567"/>
        <w:jc w:val="both"/>
        <w:rPr>
          <w:bCs/>
          <w:iCs/>
          <w:color w:val="auto"/>
          <w:sz w:val="22"/>
          <w:szCs w:val="22"/>
        </w:rPr>
      </w:pPr>
      <w:r w:rsidRPr="000A1EE9">
        <w:rPr>
          <w:bCs/>
          <w:iCs/>
          <w:color w:val="auto"/>
          <w:sz w:val="22"/>
          <w:szCs w:val="22"/>
        </w:rPr>
        <w:t xml:space="preserve">Корр. счёт 30105810345250000505 </w:t>
      </w:r>
    </w:p>
    <w:p w14:paraId="1FB10293" w14:textId="1F0804A4" w:rsidR="00F8158E" w:rsidRPr="000A1EE9" w:rsidRDefault="00BE76E6" w:rsidP="000A1EE9">
      <w:pPr>
        <w:pStyle w:val="Default"/>
        <w:spacing w:after="200"/>
        <w:ind w:firstLine="567"/>
        <w:jc w:val="both"/>
        <w:rPr>
          <w:bCs/>
          <w:iCs/>
          <w:color w:val="auto"/>
          <w:sz w:val="22"/>
          <w:szCs w:val="22"/>
        </w:rPr>
      </w:pPr>
      <w:r w:rsidRPr="000A1EE9">
        <w:rPr>
          <w:bCs/>
          <w:iCs/>
          <w:color w:val="auto"/>
          <w:sz w:val="22"/>
          <w:szCs w:val="22"/>
        </w:rPr>
        <w:t>Информация о банковских реквизитах счета Андеррайтера, на которые должны перечисляться денежные средства, поступающие в оплату Облигаций</w:t>
      </w:r>
      <w:r w:rsidR="000F34BD" w:rsidRPr="000A1EE9">
        <w:rPr>
          <w:bCs/>
          <w:iCs/>
          <w:color w:val="auto"/>
          <w:sz w:val="22"/>
          <w:szCs w:val="22"/>
        </w:rPr>
        <w:t>:</w:t>
      </w:r>
    </w:p>
    <w:p w14:paraId="01991571" w14:textId="6C0E754E" w:rsidR="000F34BD" w:rsidRPr="000A1EE9" w:rsidRDefault="000F34BD" w:rsidP="000A1EE9">
      <w:pPr>
        <w:pStyle w:val="Default"/>
        <w:spacing w:after="200"/>
        <w:ind w:firstLine="567"/>
        <w:jc w:val="both"/>
        <w:rPr>
          <w:bCs/>
          <w:iCs/>
          <w:color w:val="auto"/>
          <w:sz w:val="22"/>
          <w:szCs w:val="22"/>
        </w:rPr>
      </w:pPr>
      <w:r w:rsidRPr="000A1EE9">
        <w:rPr>
          <w:bCs/>
          <w:iCs/>
          <w:color w:val="auto"/>
          <w:sz w:val="22"/>
          <w:szCs w:val="22"/>
        </w:rPr>
        <w:t>Полное фирменное наименование получателя платежа: Акционерное общество ВТБ Капитал</w:t>
      </w:r>
    </w:p>
    <w:p w14:paraId="4DAE8C2E" w14:textId="474FD0B3" w:rsidR="000F34BD" w:rsidRPr="000A1EE9" w:rsidRDefault="000F34BD" w:rsidP="000A1EE9">
      <w:pPr>
        <w:pStyle w:val="Default"/>
        <w:spacing w:after="200"/>
        <w:ind w:firstLine="567"/>
        <w:jc w:val="both"/>
        <w:rPr>
          <w:bCs/>
          <w:iCs/>
          <w:color w:val="auto"/>
          <w:sz w:val="22"/>
          <w:szCs w:val="22"/>
        </w:rPr>
      </w:pPr>
      <w:r w:rsidRPr="000A1EE9">
        <w:rPr>
          <w:bCs/>
          <w:iCs/>
          <w:color w:val="auto"/>
          <w:sz w:val="22"/>
          <w:szCs w:val="22"/>
        </w:rPr>
        <w:t>ИНН 7703585780</w:t>
      </w:r>
    </w:p>
    <w:p w14:paraId="005D86C6" w14:textId="75A6E6C0" w:rsidR="000F34BD" w:rsidRPr="000A1EE9" w:rsidRDefault="000F34BD" w:rsidP="000A1EE9">
      <w:pPr>
        <w:pStyle w:val="Default"/>
        <w:spacing w:after="200"/>
        <w:ind w:firstLine="567"/>
        <w:jc w:val="both"/>
        <w:rPr>
          <w:bCs/>
          <w:iCs/>
          <w:color w:val="auto"/>
          <w:sz w:val="22"/>
          <w:szCs w:val="22"/>
        </w:rPr>
      </w:pPr>
      <w:r w:rsidRPr="000A1EE9">
        <w:rPr>
          <w:bCs/>
          <w:iCs/>
          <w:color w:val="auto"/>
          <w:sz w:val="22"/>
          <w:szCs w:val="22"/>
        </w:rPr>
        <w:t xml:space="preserve">Номер счёта: </w:t>
      </w:r>
      <w:r w:rsidR="009266BC" w:rsidRPr="009266BC">
        <w:rPr>
          <w:bCs/>
          <w:iCs/>
          <w:color w:val="auto"/>
          <w:sz w:val="22"/>
          <w:szCs w:val="22"/>
        </w:rPr>
        <w:t xml:space="preserve">30411810700001001076 </w:t>
      </w:r>
    </w:p>
    <w:p w14:paraId="25C16008" w14:textId="3AD2E17F" w:rsidR="00F8158E" w:rsidRPr="000A1EE9" w:rsidRDefault="00DF213F" w:rsidP="000A1EE9">
      <w:pPr>
        <w:pStyle w:val="1"/>
        <w:spacing w:after="200"/>
        <w:ind w:firstLine="567"/>
        <w:rPr>
          <w:sz w:val="22"/>
          <w:szCs w:val="22"/>
        </w:rPr>
      </w:pPr>
      <w:r w:rsidRPr="000A1EE9">
        <w:rPr>
          <w:b/>
          <w:sz w:val="22"/>
          <w:szCs w:val="22"/>
        </w:rPr>
        <w:t xml:space="preserve">4.5.3. </w:t>
      </w:r>
      <w:r w:rsidR="00F8158E" w:rsidRPr="000A1EE9">
        <w:rPr>
          <w:sz w:val="22"/>
          <w:szCs w:val="22"/>
        </w:rPr>
        <w:t>Оплата ценных бумаг неденежными средствами не предусмотрена.</w:t>
      </w:r>
    </w:p>
    <w:p w14:paraId="40B8C3A6" w14:textId="33BCB6B5" w:rsidR="00F8158E" w:rsidRPr="000A1EE9" w:rsidRDefault="00DF213F" w:rsidP="000A1EE9">
      <w:pPr>
        <w:pStyle w:val="1"/>
        <w:spacing w:after="200"/>
        <w:ind w:firstLine="567"/>
        <w:rPr>
          <w:sz w:val="22"/>
          <w:szCs w:val="22"/>
        </w:rPr>
      </w:pPr>
      <w:r w:rsidRPr="000A1EE9">
        <w:rPr>
          <w:b/>
          <w:sz w:val="22"/>
          <w:szCs w:val="22"/>
        </w:rPr>
        <w:t>4.5.4.</w:t>
      </w:r>
      <w:r w:rsidRPr="000A1EE9">
        <w:rPr>
          <w:sz w:val="22"/>
          <w:szCs w:val="22"/>
        </w:rPr>
        <w:t xml:space="preserve"> </w:t>
      </w:r>
      <w:r w:rsidR="0039137B" w:rsidRPr="000A1EE9">
        <w:rPr>
          <w:sz w:val="22"/>
          <w:szCs w:val="22"/>
        </w:rPr>
        <w:t>Пункт не применим</w:t>
      </w:r>
      <w:r w:rsidR="00F8158E" w:rsidRPr="000A1EE9">
        <w:rPr>
          <w:sz w:val="22"/>
          <w:szCs w:val="22"/>
        </w:rPr>
        <w:t>.</w:t>
      </w:r>
    </w:p>
    <w:p w14:paraId="1AA86DBE" w14:textId="5D00D133" w:rsidR="000A2DC4" w:rsidRPr="000A1EE9" w:rsidRDefault="000A2DC4" w:rsidP="000A1EE9">
      <w:pPr>
        <w:pStyle w:val="1"/>
        <w:spacing w:after="200"/>
        <w:ind w:firstLine="567"/>
        <w:rPr>
          <w:sz w:val="22"/>
          <w:szCs w:val="22"/>
        </w:rPr>
      </w:pPr>
      <w:r w:rsidRPr="000A1EE9">
        <w:rPr>
          <w:b/>
          <w:sz w:val="22"/>
          <w:szCs w:val="22"/>
        </w:rPr>
        <w:t xml:space="preserve">4.5.5. </w:t>
      </w:r>
      <w:r w:rsidR="00531DF7" w:rsidRPr="000A1EE9">
        <w:rPr>
          <w:sz w:val="22"/>
          <w:szCs w:val="22"/>
        </w:rPr>
        <w:t>С</w:t>
      </w:r>
      <w:r w:rsidRPr="000A1EE9">
        <w:rPr>
          <w:sz w:val="22"/>
          <w:szCs w:val="22"/>
        </w:rPr>
        <w:t>рок оплаты размещаемых ценных бумаг</w:t>
      </w:r>
      <w:r w:rsidR="00874273" w:rsidRPr="000A1EE9">
        <w:rPr>
          <w:sz w:val="22"/>
          <w:szCs w:val="22"/>
        </w:rPr>
        <w:t>:</w:t>
      </w:r>
    </w:p>
    <w:p w14:paraId="4D01B040" w14:textId="3787B933" w:rsidR="00D1224E" w:rsidRPr="000A1EE9" w:rsidRDefault="00D1224E" w:rsidP="000A1EE9">
      <w:pPr>
        <w:pStyle w:val="Default"/>
        <w:spacing w:after="200"/>
        <w:ind w:firstLine="567"/>
        <w:jc w:val="both"/>
        <w:rPr>
          <w:bCs/>
          <w:iCs/>
          <w:color w:val="auto"/>
          <w:sz w:val="22"/>
          <w:szCs w:val="22"/>
        </w:rPr>
      </w:pPr>
      <w:r w:rsidRPr="000A1EE9">
        <w:rPr>
          <w:bCs/>
          <w:iCs/>
          <w:color w:val="auto"/>
          <w:sz w:val="22"/>
          <w:szCs w:val="22"/>
        </w:rPr>
        <w:t xml:space="preserve">Облигации размещаются при условии их полной оплаты. Возможность рассрочки при оплате Облигаций не предусмотрена. </w:t>
      </w:r>
    </w:p>
    <w:p w14:paraId="53D27C91" w14:textId="54B60CAA" w:rsidR="00D1224E" w:rsidRPr="000A1EE9" w:rsidRDefault="00D1224E" w:rsidP="000A1EE9">
      <w:pPr>
        <w:pStyle w:val="Default"/>
        <w:spacing w:after="200"/>
        <w:ind w:firstLine="567"/>
        <w:jc w:val="both"/>
        <w:rPr>
          <w:bCs/>
          <w:iCs/>
          <w:color w:val="auto"/>
          <w:sz w:val="22"/>
          <w:szCs w:val="22"/>
        </w:rPr>
      </w:pPr>
      <w:r w:rsidRPr="000A1EE9">
        <w:rPr>
          <w:bCs/>
          <w:iCs/>
          <w:color w:val="auto"/>
          <w:sz w:val="22"/>
          <w:szCs w:val="22"/>
        </w:rPr>
        <w:t xml:space="preserve">Оплата Облигаций осуществляется в процессе их размещения на торгах Биржи. Для целей оплаты приобретаемых Облигаций денежные средства должны быть зарезервированы на торговых счетах участников торгов Московской Биржи в НРД в сумме, достаточной для полной оплаты Облигаций, указанных в заявках на приобретение Облигаций, с учетом всех необходимых комиссионных сборов, также с учетом НКД. Денежные расчеты по сделкам купли-продажи Облигаций при их размещении осуществляются на условиях «поставка против платежа» через НРД в соответствии с Правилами осуществления клиринговой деятельности Клиринговой организации на рынке ценных бумаг. Денежные расчеты при размещении Облигаций по заключенным сделкам купли-продажи Облигаций осуществляются в день заключения соответствующих сделок. </w:t>
      </w:r>
      <w:r w:rsidRPr="000A1EE9">
        <w:rPr>
          <w:bCs/>
          <w:iCs/>
          <w:color w:val="auto"/>
          <w:sz w:val="22"/>
          <w:szCs w:val="22"/>
        </w:rPr>
        <w:lastRenderedPageBreak/>
        <w:t>Денежные средства, поступающие в оплату Облигаций настоящего выпуска, зачисляются на специальный счет Андеррайтера в НРД.</w:t>
      </w:r>
    </w:p>
    <w:p w14:paraId="7BE9C35B" w14:textId="45E09B63" w:rsidR="00D1224E" w:rsidRPr="000A1EE9" w:rsidRDefault="00D1224E" w:rsidP="000A1EE9">
      <w:pPr>
        <w:pStyle w:val="Default"/>
        <w:spacing w:after="200"/>
        <w:ind w:firstLine="567"/>
        <w:jc w:val="both"/>
        <w:rPr>
          <w:bCs/>
          <w:iCs/>
          <w:color w:val="auto"/>
          <w:sz w:val="22"/>
          <w:szCs w:val="22"/>
        </w:rPr>
      </w:pPr>
      <w:r w:rsidRPr="000A1EE9">
        <w:rPr>
          <w:bCs/>
          <w:iCs/>
          <w:color w:val="auto"/>
          <w:sz w:val="22"/>
          <w:szCs w:val="22"/>
        </w:rPr>
        <w:t>Андеррайтер переводит средства, полученные от размещения Облигаций, на счет эмитента в срок, установленный соглашением между эмитентом и Андеррайтером.</w:t>
      </w:r>
    </w:p>
    <w:p w14:paraId="41F951EA" w14:textId="0FEE6D1A" w:rsidR="00DF213F" w:rsidRPr="000A1EE9" w:rsidRDefault="00DF213F" w:rsidP="000A1EE9">
      <w:pPr>
        <w:pStyle w:val="1"/>
        <w:spacing w:after="200"/>
        <w:ind w:firstLine="567"/>
        <w:rPr>
          <w:b/>
          <w:sz w:val="22"/>
          <w:szCs w:val="22"/>
        </w:rPr>
      </w:pPr>
      <w:r w:rsidRPr="000A1EE9">
        <w:rPr>
          <w:b/>
          <w:sz w:val="22"/>
          <w:szCs w:val="22"/>
        </w:rPr>
        <w:t>5. Порядок раскрытия эмитентом информации о выпуске ценных бумаг</w:t>
      </w:r>
    </w:p>
    <w:p w14:paraId="48C97708" w14:textId="77777777" w:rsidR="00DF7090" w:rsidRPr="000A1EE9" w:rsidRDefault="00DF7090" w:rsidP="000A1EE9">
      <w:pPr>
        <w:pStyle w:val="Default"/>
        <w:spacing w:after="200"/>
        <w:ind w:firstLine="567"/>
        <w:jc w:val="both"/>
        <w:rPr>
          <w:bCs/>
          <w:iCs/>
          <w:color w:val="auto"/>
          <w:sz w:val="22"/>
          <w:szCs w:val="22"/>
        </w:rPr>
      </w:pPr>
      <w:r w:rsidRPr="000A1EE9">
        <w:rPr>
          <w:bCs/>
          <w:iCs/>
          <w:color w:val="auto"/>
          <w:sz w:val="22"/>
          <w:szCs w:val="22"/>
        </w:rPr>
        <w:t>Ц</w:t>
      </w:r>
      <w:r w:rsidR="00DF213F" w:rsidRPr="000A1EE9">
        <w:rPr>
          <w:bCs/>
          <w:iCs/>
          <w:color w:val="auto"/>
          <w:sz w:val="22"/>
          <w:szCs w:val="22"/>
        </w:rPr>
        <w:t xml:space="preserve">енные бумаги выпуска </w:t>
      </w:r>
      <w:r w:rsidRPr="000A1EE9">
        <w:rPr>
          <w:bCs/>
          <w:iCs/>
          <w:color w:val="auto"/>
          <w:sz w:val="22"/>
          <w:szCs w:val="22"/>
        </w:rPr>
        <w:t xml:space="preserve">не </w:t>
      </w:r>
      <w:r w:rsidR="00DF213F" w:rsidRPr="000A1EE9">
        <w:rPr>
          <w:bCs/>
          <w:iCs/>
          <w:color w:val="auto"/>
          <w:sz w:val="22"/>
          <w:szCs w:val="22"/>
        </w:rPr>
        <w:t>размещаются путем открытой подписки</w:t>
      </w:r>
      <w:r w:rsidRPr="000A1EE9">
        <w:rPr>
          <w:bCs/>
          <w:iCs/>
          <w:color w:val="auto"/>
          <w:sz w:val="22"/>
          <w:szCs w:val="22"/>
        </w:rPr>
        <w:t xml:space="preserve">. </w:t>
      </w:r>
    </w:p>
    <w:p w14:paraId="596DFA0C" w14:textId="77777777" w:rsidR="008A6C6C" w:rsidRPr="000A1EE9" w:rsidRDefault="008A6C6C" w:rsidP="000A1EE9">
      <w:pPr>
        <w:pStyle w:val="Default"/>
        <w:spacing w:after="200"/>
        <w:ind w:firstLine="567"/>
        <w:jc w:val="both"/>
        <w:rPr>
          <w:bCs/>
          <w:iCs/>
          <w:color w:val="auto"/>
          <w:sz w:val="22"/>
          <w:szCs w:val="22"/>
        </w:rPr>
      </w:pPr>
      <w:r w:rsidRPr="000A1EE9">
        <w:rPr>
          <w:bCs/>
          <w:iCs/>
          <w:color w:val="auto"/>
          <w:sz w:val="22"/>
          <w:szCs w:val="22"/>
        </w:rPr>
        <w:t>Эмиссия Облигаций не сопровождается регистрацией проспекта ценных бумаг.</w:t>
      </w:r>
    </w:p>
    <w:p w14:paraId="7BFDA3E7" w14:textId="3AAEA435" w:rsidR="00191816" w:rsidRPr="00191816" w:rsidRDefault="00191816" w:rsidP="00191816">
      <w:pPr>
        <w:pStyle w:val="Default"/>
        <w:spacing w:after="200"/>
        <w:ind w:firstLine="567"/>
        <w:jc w:val="both"/>
        <w:rPr>
          <w:bCs/>
          <w:iCs/>
          <w:color w:val="auto"/>
          <w:sz w:val="22"/>
          <w:szCs w:val="22"/>
        </w:rPr>
      </w:pPr>
      <w:r w:rsidRPr="00191816">
        <w:rPr>
          <w:bCs/>
          <w:iCs/>
          <w:color w:val="auto"/>
          <w:sz w:val="22"/>
          <w:szCs w:val="22"/>
        </w:rPr>
        <w:t>Раскрытие информации Эмитентом о выпуске не осуществляется, за исключением отдельных публикаций, обязанность по раскрытию которых Эмитент принимает на себя в связи с осуществлением эмиссии данного выпуска Облигаций. Порядок раскрытия таких отдельных публикаций сообщений описан в соответствующих пунктах</w:t>
      </w:r>
      <w:r w:rsidR="007705FC">
        <w:rPr>
          <w:bCs/>
          <w:iCs/>
          <w:color w:val="auto"/>
          <w:sz w:val="22"/>
          <w:szCs w:val="22"/>
        </w:rPr>
        <w:t xml:space="preserve"> настоящего документа и</w:t>
      </w:r>
      <w:r w:rsidRPr="00191816">
        <w:rPr>
          <w:bCs/>
          <w:iCs/>
          <w:color w:val="auto"/>
          <w:sz w:val="22"/>
          <w:szCs w:val="22"/>
        </w:rPr>
        <w:t xml:space="preserve"> Решения о выпуске.</w:t>
      </w:r>
    </w:p>
    <w:p w14:paraId="4C85D5A5" w14:textId="2F4C1C05" w:rsidR="00191816" w:rsidRPr="00191816" w:rsidRDefault="00191816" w:rsidP="00191816">
      <w:pPr>
        <w:pStyle w:val="Default"/>
        <w:spacing w:after="200"/>
        <w:ind w:firstLine="567"/>
        <w:jc w:val="both"/>
        <w:rPr>
          <w:bCs/>
          <w:iCs/>
          <w:color w:val="auto"/>
          <w:sz w:val="22"/>
          <w:szCs w:val="22"/>
        </w:rPr>
      </w:pPr>
      <w:r w:rsidRPr="00191816">
        <w:rPr>
          <w:bCs/>
          <w:iCs/>
          <w:color w:val="auto"/>
          <w:sz w:val="22"/>
          <w:szCs w:val="22"/>
        </w:rPr>
        <w:t xml:space="preserve">При раскрытии информации, предусмотренной настоящим </w:t>
      </w:r>
      <w:r w:rsidR="007705FC">
        <w:rPr>
          <w:bCs/>
          <w:iCs/>
          <w:color w:val="auto"/>
          <w:sz w:val="22"/>
          <w:szCs w:val="22"/>
        </w:rPr>
        <w:t>документо</w:t>
      </w:r>
      <w:r w:rsidR="00EB722D">
        <w:rPr>
          <w:bCs/>
          <w:iCs/>
          <w:color w:val="auto"/>
          <w:sz w:val="22"/>
          <w:szCs w:val="22"/>
        </w:rPr>
        <w:t>м</w:t>
      </w:r>
      <w:r w:rsidR="007705FC">
        <w:rPr>
          <w:bCs/>
          <w:iCs/>
          <w:color w:val="auto"/>
          <w:sz w:val="22"/>
          <w:szCs w:val="22"/>
        </w:rPr>
        <w:t xml:space="preserve"> и </w:t>
      </w:r>
      <w:r w:rsidRPr="00191816">
        <w:rPr>
          <w:bCs/>
          <w:iCs/>
          <w:color w:val="auto"/>
          <w:sz w:val="22"/>
          <w:szCs w:val="22"/>
        </w:rPr>
        <w:t>Решением о выпуске, в такой информации должно содержаться указание на то, что она адресована квалифицированным инвесторам.</w:t>
      </w:r>
    </w:p>
    <w:p w14:paraId="4561F72E" w14:textId="15DBCAC1" w:rsidR="00191816" w:rsidRDefault="00191816" w:rsidP="00191816">
      <w:pPr>
        <w:pStyle w:val="Default"/>
        <w:spacing w:after="200"/>
        <w:ind w:firstLine="567"/>
        <w:jc w:val="both"/>
        <w:rPr>
          <w:bCs/>
          <w:iCs/>
          <w:color w:val="auto"/>
          <w:sz w:val="22"/>
          <w:szCs w:val="22"/>
        </w:rPr>
      </w:pPr>
      <w:r w:rsidRPr="00191816">
        <w:rPr>
          <w:bCs/>
          <w:iCs/>
          <w:color w:val="auto"/>
          <w:sz w:val="22"/>
          <w:szCs w:val="22"/>
        </w:rPr>
        <w:t>В случаях, когда Эмитент обязан опубликовать информацию в Ленте новостей, такое опубликование должно осуществляться в Ленте новостей хотя бы одного из информационных агентств, уполномоченных Банком России на проведение действий по раскрытию информации о ценных бумагах и об иных финансовых инструментах</w:t>
      </w:r>
      <w:r w:rsidR="00EB722D">
        <w:rPr>
          <w:bCs/>
          <w:iCs/>
          <w:color w:val="auto"/>
          <w:sz w:val="22"/>
          <w:szCs w:val="22"/>
        </w:rPr>
        <w:t xml:space="preserve"> </w:t>
      </w:r>
      <w:r w:rsidRPr="00191816">
        <w:rPr>
          <w:bCs/>
          <w:iCs/>
          <w:color w:val="auto"/>
          <w:sz w:val="22"/>
          <w:szCs w:val="22"/>
        </w:rPr>
        <w:t xml:space="preserve">не позднее последнего дня срока, в течение которого в соответствии с Решением о выпуске должно быть осуществлено такое опубликование. </w:t>
      </w:r>
    </w:p>
    <w:p w14:paraId="0E426EC5" w14:textId="3178E08E" w:rsidR="008A6C6C" w:rsidRPr="000A1EE9" w:rsidRDefault="008A6C6C" w:rsidP="000A1EE9">
      <w:pPr>
        <w:pStyle w:val="Default"/>
        <w:spacing w:after="200"/>
        <w:ind w:firstLine="567"/>
        <w:jc w:val="both"/>
        <w:rPr>
          <w:bCs/>
          <w:iCs/>
          <w:color w:val="auto"/>
          <w:sz w:val="22"/>
          <w:szCs w:val="22"/>
        </w:rPr>
      </w:pPr>
      <w:r w:rsidRPr="000A1EE9">
        <w:rPr>
          <w:bCs/>
          <w:iCs/>
          <w:color w:val="auto"/>
          <w:sz w:val="22"/>
          <w:szCs w:val="22"/>
        </w:rPr>
        <w:t xml:space="preserve">При раскрытии информации </w:t>
      </w:r>
      <w:r w:rsidR="00874273" w:rsidRPr="000A1EE9">
        <w:rPr>
          <w:bCs/>
          <w:iCs/>
          <w:color w:val="auto"/>
          <w:sz w:val="22"/>
          <w:szCs w:val="22"/>
        </w:rPr>
        <w:t xml:space="preserve">о выпуске </w:t>
      </w:r>
      <w:r w:rsidRPr="000A1EE9">
        <w:rPr>
          <w:bCs/>
          <w:iCs/>
          <w:color w:val="auto"/>
          <w:sz w:val="22"/>
          <w:szCs w:val="22"/>
        </w:rPr>
        <w:t xml:space="preserve">путём опубликования на странице в сети «Интернет» используется страница </w:t>
      </w:r>
      <w:r w:rsidR="00D10409" w:rsidRPr="000A1EE9">
        <w:rPr>
          <w:bCs/>
          <w:iCs/>
          <w:color w:val="auto"/>
          <w:sz w:val="22"/>
          <w:szCs w:val="22"/>
        </w:rPr>
        <w:t>эмитент</w:t>
      </w:r>
      <w:r w:rsidRPr="000A1EE9">
        <w:rPr>
          <w:bCs/>
          <w:iCs/>
          <w:color w:val="auto"/>
          <w:sz w:val="22"/>
          <w:szCs w:val="22"/>
        </w:rPr>
        <w:t>а в сети Интернет</w:t>
      </w:r>
      <w:r w:rsidR="00DF7090" w:rsidRPr="000A1EE9">
        <w:rPr>
          <w:bCs/>
          <w:iCs/>
          <w:color w:val="auto"/>
          <w:sz w:val="22"/>
          <w:szCs w:val="22"/>
        </w:rPr>
        <w:t xml:space="preserve"> </w:t>
      </w:r>
      <w:r w:rsidR="002517C3" w:rsidRPr="002517C3">
        <w:rPr>
          <w:bCs/>
          <w:iCs/>
          <w:color w:val="auto"/>
          <w:sz w:val="22"/>
          <w:szCs w:val="22"/>
        </w:rPr>
        <w:t>https://www.e-disclosure.ru/portal/company.aspx?id=37945</w:t>
      </w:r>
      <w:r w:rsidRPr="000A1EE9">
        <w:rPr>
          <w:bCs/>
          <w:iCs/>
          <w:color w:val="auto"/>
          <w:sz w:val="22"/>
          <w:szCs w:val="22"/>
        </w:rPr>
        <w:t>.</w:t>
      </w:r>
    </w:p>
    <w:p w14:paraId="587AFFE6" w14:textId="77777777" w:rsidR="007705FC" w:rsidRPr="00191816" w:rsidRDefault="007705FC" w:rsidP="007705FC">
      <w:pPr>
        <w:pStyle w:val="Default"/>
        <w:spacing w:after="200"/>
        <w:ind w:firstLine="567"/>
        <w:jc w:val="both"/>
        <w:rPr>
          <w:bCs/>
          <w:iCs/>
          <w:color w:val="auto"/>
          <w:sz w:val="22"/>
          <w:szCs w:val="22"/>
        </w:rPr>
      </w:pPr>
      <w:r>
        <w:rPr>
          <w:bCs/>
          <w:iCs/>
          <w:color w:val="auto"/>
          <w:sz w:val="22"/>
          <w:szCs w:val="22"/>
        </w:rPr>
        <w:t>Эмитент не обязан раскрывать информацию в форме отчёта эмитента и сообщений о существенных фактах.</w:t>
      </w:r>
    </w:p>
    <w:p w14:paraId="2475BBD3" w14:textId="6BD9125D" w:rsidR="00321FFB" w:rsidRPr="000A1EE9" w:rsidRDefault="00C16B2A" w:rsidP="000A1EE9">
      <w:pPr>
        <w:pStyle w:val="1"/>
        <w:spacing w:after="200"/>
        <w:ind w:firstLine="567"/>
        <w:rPr>
          <w:sz w:val="22"/>
          <w:szCs w:val="22"/>
        </w:rPr>
      </w:pPr>
      <w:r w:rsidRPr="000A1EE9">
        <w:rPr>
          <w:b/>
          <w:sz w:val="22"/>
          <w:szCs w:val="22"/>
        </w:rPr>
        <w:t>6. Сведения о документе, содержащем фактические итоги размещения ценных бумаг, который представляется после завершения размещения ценных бумаг</w:t>
      </w:r>
      <w:r w:rsidR="00874273" w:rsidRPr="000A1EE9">
        <w:rPr>
          <w:b/>
          <w:sz w:val="22"/>
          <w:szCs w:val="22"/>
        </w:rPr>
        <w:t>,</w:t>
      </w:r>
      <w:r w:rsidR="00874273" w:rsidRPr="000A1EE9">
        <w:rPr>
          <w:sz w:val="22"/>
          <w:szCs w:val="22"/>
        </w:rPr>
        <w:t xml:space="preserve"> - уведомление об итогах выпуска ценных бумаг.</w:t>
      </w:r>
      <w:bookmarkStart w:id="3" w:name="_Hlk9337843"/>
    </w:p>
    <w:bookmarkEnd w:id="3"/>
    <w:p w14:paraId="79C01A8A" w14:textId="3A7EFBC9" w:rsidR="00673620" w:rsidRPr="000A1EE9" w:rsidRDefault="00C16B2A" w:rsidP="000A1EE9">
      <w:pPr>
        <w:pStyle w:val="1"/>
        <w:spacing w:after="200"/>
        <w:ind w:firstLine="567"/>
        <w:rPr>
          <w:sz w:val="22"/>
          <w:szCs w:val="22"/>
        </w:rPr>
      </w:pPr>
      <w:r w:rsidRPr="000A1EE9">
        <w:rPr>
          <w:b/>
          <w:sz w:val="22"/>
          <w:szCs w:val="22"/>
        </w:rPr>
        <w:t>7</w:t>
      </w:r>
      <w:r w:rsidR="009B7696" w:rsidRPr="000A1EE9">
        <w:rPr>
          <w:b/>
          <w:sz w:val="22"/>
          <w:szCs w:val="22"/>
        </w:rPr>
        <w:t>. Ин</w:t>
      </w:r>
      <w:r w:rsidR="00E2074F" w:rsidRPr="000A1EE9">
        <w:rPr>
          <w:b/>
          <w:sz w:val="22"/>
          <w:szCs w:val="22"/>
        </w:rPr>
        <w:t>ые</w:t>
      </w:r>
      <w:r w:rsidR="009B7696" w:rsidRPr="000A1EE9">
        <w:rPr>
          <w:b/>
          <w:sz w:val="22"/>
          <w:szCs w:val="22"/>
        </w:rPr>
        <w:t xml:space="preserve"> </w:t>
      </w:r>
      <w:r w:rsidR="00E2074F" w:rsidRPr="000A1EE9">
        <w:rPr>
          <w:b/>
          <w:sz w:val="22"/>
          <w:szCs w:val="22"/>
        </w:rPr>
        <w:t>сведен</w:t>
      </w:r>
      <w:r w:rsidR="009B7696" w:rsidRPr="000A1EE9">
        <w:rPr>
          <w:b/>
          <w:sz w:val="22"/>
          <w:szCs w:val="22"/>
        </w:rPr>
        <w:t>ия</w:t>
      </w:r>
      <w:r w:rsidR="00874273" w:rsidRPr="000A1EE9">
        <w:rPr>
          <w:sz w:val="22"/>
          <w:szCs w:val="22"/>
        </w:rPr>
        <w:t xml:space="preserve"> отсутствуют</w:t>
      </w:r>
      <w:r w:rsidR="007E0727" w:rsidRPr="000A1EE9">
        <w:rPr>
          <w:sz w:val="22"/>
          <w:szCs w:val="22"/>
        </w:rPr>
        <w:t>.</w:t>
      </w:r>
    </w:p>
    <w:sectPr w:rsidR="00673620" w:rsidRPr="000A1EE9" w:rsidSect="00B31A2E">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FBDED4" w14:textId="77777777" w:rsidR="008E565F" w:rsidRPr="00496E5D" w:rsidRDefault="008E565F" w:rsidP="00496E5D">
      <w:pPr>
        <w:pStyle w:val="ConsPlusNormal"/>
        <w:rPr>
          <w:rFonts w:asciiTheme="minorHAnsi" w:eastAsiaTheme="minorHAnsi" w:hAnsiTheme="minorHAnsi" w:cstheme="minorBidi"/>
          <w:szCs w:val="22"/>
          <w:lang w:eastAsia="en-US"/>
        </w:rPr>
      </w:pPr>
      <w:r>
        <w:separator/>
      </w:r>
    </w:p>
  </w:endnote>
  <w:endnote w:type="continuationSeparator" w:id="0">
    <w:p w14:paraId="32A5E775" w14:textId="77777777" w:rsidR="008E565F" w:rsidRPr="00496E5D" w:rsidRDefault="008E565F" w:rsidP="00496E5D">
      <w:pPr>
        <w:pStyle w:val="ConsPlusNormal"/>
        <w:rPr>
          <w:rFonts w:asciiTheme="minorHAnsi" w:eastAsiaTheme="minorHAnsi" w:hAnsiTheme="minorHAnsi" w:cstheme="minorBidi"/>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rPr>
      <w:id w:val="-2143956588"/>
      <w:docPartObj>
        <w:docPartGallery w:val="Page Numbers (Bottom of Page)"/>
        <w:docPartUnique/>
      </w:docPartObj>
    </w:sdtPr>
    <w:sdtEndPr>
      <w:rPr>
        <w:rFonts w:ascii="Times New Roman" w:hAnsi="Times New Roman" w:cs="Times New Roman"/>
        <w:sz w:val="21"/>
        <w:szCs w:val="24"/>
      </w:rPr>
    </w:sdtEndPr>
    <w:sdtContent>
      <w:p w14:paraId="19F9473A" w14:textId="33F61FC1" w:rsidR="00EA6448" w:rsidRPr="000A1EE9" w:rsidRDefault="00EA6448">
        <w:pPr>
          <w:pStyle w:val="af3"/>
          <w:jc w:val="right"/>
          <w:rPr>
            <w:sz w:val="20"/>
          </w:rPr>
        </w:pPr>
        <w:r w:rsidRPr="000A1EE9">
          <w:rPr>
            <w:rFonts w:ascii="Times New Roman" w:hAnsi="Times New Roman" w:cs="Times New Roman"/>
            <w:sz w:val="21"/>
            <w:szCs w:val="24"/>
          </w:rPr>
          <w:fldChar w:fldCharType="begin"/>
        </w:r>
        <w:r w:rsidRPr="000A1EE9">
          <w:rPr>
            <w:rFonts w:ascii="Times New Roman" w:hAnsi="Times New Roman" w:cs="Times New Roman"/>
            <w:sz w:val="21"/>
            <w:szCs w:val="24"/>
          </w:rPr>
          <w:instrText>PAGE   \* MERGEFORMAT</w:instrText>
        </w:r>
        <w:r w:rsidRPr="000A1EE9">
          <w:rPr>
            <w:rFonts w:ascii="Times New Roman" w:hAnsi="Times New Roman" w:cs="Times New Roman"/>
            <w:sz w:val="21"/>
            <w:szCs w:val="24"/>
          </w:rPr>
          <w:fldChar w:fldCharType="separate"/>
        </w:r>
        <w:r w:rsidR="00595ABE">
          <w:rPr>
            <w:rFonts w:ascii="Times New Roman" w:hAnsi="Times New Roman" w:cs="Times New Roman"/>
            <w:noProof/>
            <w:sz w:val="21"/>
            <w:szCs w:val="24"/>
          </w:rPr>
          <w:t>8</w:t>
        </w:r>
        <w:r w:rsidRPr="000A1EE9">
          <w:rPr>
            <w:rFonts w:ascii="Times New Roman" w:hAnsi="Times New Roman" w:cs="Times New Roman"/>
            <w:sz w:val="21"/>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8DA2A5" w14:textId="77777777" w:rsidR="008E565F" w:rsidRPr="00496E5D" w:rsidRDefault="008E565F" w:rsidP="00496E5D">
      <w:pPr>
        <w:pStyle w:val="ConsPlusNormal"/>
        <w:rPr>
          <w:rFonts w:asciiTheme="minorHAnsi" w:eastAsiaTheme="minorHAnsi" w:hAnsiTheme="minorHAnsi" w:cstheme="minorBidi"/>
          <w:szCs w:val="22"/>
          <w:lang w:eastAsia="en-US"/>
        </w:rPr>
      </w:pPr>
      <w:r>
        <w:separator/>
      </w:r>
    </w:p>
  </w:footnote>
  <w:footnote w:type="continuationSeparator" w:id="0">
    <w:p w14:paraId="02B12304" w14:textId="77777777" w:rsidR="008E565F" w:rsidRPr="00496E5D" w:rsidRDefault="008E565F" w:rsidP="00496E5D">
      <w:pPr>
        <w:pStyle w:val="ConsPlusNormal"/>
        <w:rPr>
          <w:rFonts w:asciiTheme="minorHAnsi" w:eastAsiaTheme="minorHAnsi" w:hAnsiTheme="minorHAnsi" w:cstheme="minorBidi"/>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D19C4"/>
    <w:multiLevelType w:val="hybridMultilevel"/>
    <w:tmpl w:val="623E412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2DA25F0E"/>
    <w:multiLevelType w:val="hybridMultilevel"/>
    <w:tmpl w:val="5624131A"/>
    <w:lvl w:ilvl="0" w:tplc="BA6C45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3C956F3F"/>
    <w:multiLevelType w:val="hybridMultilevel"/>
    <w:tmpl w:val="C5303E92"/>
    <w:lvl w:ilvl="0" w:tplc="74765F0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499E03B5"/>
    <w:multiLevelType w:val="hybridMultilevel"/>
    <w:tmpl w:val="50A2D2B6"/>
    <w:lvl w:ilvl="0" w:tplc="0BF291EA">
      <w:start w:val="1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55E0396B"/>
    <w:multiLevelType w:val="hybridMultilevel"/>
    <w:tmpl w:val="F3C8C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76E32AF"/>
    <w:multiLevelType w:val="hybridMultilevel"/>
    <w:tmpl w:val="551EF4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5"/>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686C"/>
    <w:rsid w:val="00001F72"/>
    <w:rsid w:val="000023C3"/>
    <w:rsid w:val="00002AC2"/>
    <w:rsid w:val="000031D9"/>
    <w:rsid w:val="00003A27"/>
    <w:rsid w:val="00004424"/>
    <w:rsid w:val="0000543E"/>
    <w:rsid w:val="00005A81"/>
    <w:rsid w:val="00005EE5"/>
    <w:rsid w:val="0000600A"/>
    <w:rsid w:val="00006A6B"/>
    <w:rsid w:val="00015928"/>
    <w:rsid w:val="00016A20"/>
    <w:rsid w:val="00022615"/>
    <w:rsid w:val="000300D0"/>
    <w:rsid w:val="000303DC"/>
    <w:rsid w:val="00030F4D"/>
    <w:rsid w:val="000329ED"/>
    <w:rsid w:val="00032AF5"/>
    <w:rsid w:val="000358AC"/>
    <w:rsid w:val="00045A62"/>
    <w:rsid w:val="00047904"/>
    <w:rsid w:val="00050F87"/>
    <w:rsid w:val="00052B1E"/>
    <w:rsid w:val="0005331F"/>
    <w:rsid w:val="000542E0"/>
    <w:rsid w:val="000613B7"/>
    <w:rsid w:val="00065BC5"/>
    <w:rsid w:val="00067B53"/>
    <w:rsid w:val="00067EBD"/>
    <w:rsid w:val="00070EBB"/>
    <w:rsid w:val="00076122"/>
    <w:rsid w:val="00080857"/>
    <w:rsid w:val="00081B7E"/>
    <w:rsid w:val="000830A8"/>
    <w:rsid w:val="00085372"/>
    <w:rsid w:val="000866AE"/>
    <w:rsid w:val="0008794F"/>
    <w:rsid w:val="00092811"/>
    <w:rsid w:val="00093373"/>
    <w:rsid w:val="000934D5"/>
    <w:rsid w:val="00097234"/>
    <w:rsid w:val="000A1852"/>
    <w:rsid w:val="000A1EE9"/>
    <w:rsid w:val="000A2DC4"/>
    <w:rsid w:val="000A38FA"/>
    <w:rsid w:val="000A3BDA"/>
    <w:rsid w:val="000A5605"/>
    <w:rsid w:val="000A57D3"/>
    <w:rsid w:val="000A5ED5"/>
    <w:rsid w:val="000B08E0"/>
    <w:rsid w:val="000B29CB"/>
    <w:rsid w:val="000B3995"/>
    <w:rsid w:val="000B685A"/>
    <w:rsid w:val="000B6C17"/>
    <w:rsid w:val="000B7622"/>
    <w:rsid w:val="000C19A5"/>
    <w:rsid w:val="000C69A7"/>
    <w:rsid w:val="000C6D67"/>
    <w:rsid w:val="000C73AE"/>
    <w:rsid w:val="000C7F08"/>
    <w:rsid w:val="000D03A3"/>
    <w:rsid w:val="000D5EAB"/>
    <w:rsid w:val="000D7858"/>
    <w:rsid w:val="000E3D9F"/>
    <w:rsid w:val="000E484A"/>
    <w:rsid w:val="000E5DE6"/>
    <w:rsid w:val="000F284B"/>
    <w:rsid w:val="000F2E4B"/>
    <w:rsid w:val="000F3464"/>
    <w:rsid w:val="000F34BD"/>
    <w:rsid w:val="0011067D"/>
    <w:rsid w:val="00112436"/>
    <w:rsid w:val="001125EB"/>
    <w:rsid w:val="00113BFF"/>
    <w:rsid w:val="00114654"/>
    <w:rsid w:val="0011473B"/>
    <w:rsid w:val="00121304"/>
    <w:rsid w:val="00123EB9"/>
    <w:rsid w:val="0012486D"/>
    <w:rsid w:val="00126649"/>
    <w:rsid w:val="00127CB8"/>
    <w:rsid w:val="00131764"/>
    <w:rsid w:val="001325F8"/>
    <w:rsid w:val="00132786"/>
    <w:rsid w:val="00132EF0"/>
    <w:rsid w:val="0013360E"/>
    <w:rsid w:val="00135CDB"/>
    <w:rsid w:val="00144AFA"/>
    <w:rsid w:val="00145BFE"/>
    <w:rsid w:val="00146BB0"/>
    <w:rsid w:val="00146E30"/>
    <w:rsid w:val="00150817"/>
    <w:rsid w:val="00161002"/>
    <w:rsid w:val="001650F6"/>
    <w:rsid w:val="001751E4"/>
    <w:rsid w:val="001845F0"/>
    <w:rsid w:val="001861FB"/>
    <w:rsid w:val="00187C05"/>
    <w:rsid w:val="00191816"/>
    <w:rsid w:val="00194DBD"/>
    <w:rsid w:val="00197728"/>
    <w:rsid w:val="001A10C7"/>
    <w:rsid w:val="001A54A5"/>
    <w:rsid w:val="001B1264"/>
    <w:rsid w:val="001B3E23"/>
    <w:rsid w:val="001C1747"/>
    <w:rsid w:val="001C1A64"/>
    <w:rsid w:val="001C69A7"/>
    <w:rsid w:val="001D0B06"/>
    <w:rsid w:val="001D0FD9"/>
    <w:rsid w:val="001D48F5"/>
    <w:rsid w:val="001D67A3"/>
    <w:rsid w:val="001D750B"/>
    <w:rsid w:val="001D7A88"/>
    <w:rsid w:val="001E2F98"/>
    <w:rsid w:val="001E5418"/>
    <w:rsid w:val="001E5C45"/>
    <w:rsid w:val="001F2311"/>
    <w:rsid w:val="001F3091"/>
    <w:rsid w:val="001F4650"/>
    <w:rsid w:val="0020083C"/>
    <w:rsid w:val="00202437"/>
    <w:rsid w:val="00202606"/>
    <w:rsid w:val="00207AF4"/>
    <w:rsid w:val="00217083"/>
    <w:rsid w:val="002178CA"/>
    <w:rsid w:val="00222570"/>
    <w:rsid w:val="00224730"/>
    <w:rsid w:val="00224DF2"/>
    <w:rsid w:val="00227187"/>
    <w:rsid w:val="002273F2"/>
    <w:rsid w:val="00232EEC"/>
    <w:rsid w:val="0023337B"/>
    <w:rsid w:val="00233D20"/>
    <w:rsid w:val="002357DD"/>
    <w:rsid w:val="00236366"/>
    <w:rsid w:val="002425E8"/>
    <w:rsid w:val="002435C8"/>
    <w:rsid w:val="0024362E"/>
    <w:rsid w:val="00246A92"/>
    <w:rsid w:val="002506C4"/>
    <w:rsid w:val="002513AB"/>
    <w:rsid w:val="002517C3"/>
    <w:rsid w:val="002568C6"/>
    <w:rsid w:val="00264A45"/>
    <w:rsid w:val="00264C2E"/>
    <w:rsid w:val="00265043"/>
    <w:rsid w:val="002664E3"/>
    <w:rsid w:val="002678AB"/>
    <w:rsid w:val="00270819"/>
    <w:rsid w:val="00273255"/>
    <w:rsid w:val="002752D6"/>
    <w:rsid w:val="00275F57"/>
    <w:rsid w:val="00287C4B"/>
    <w:rsid w:val="0029380E"/>
    <w:rsid w:val="002A190B"/>
    <w:rsid w:val="002A1984"/>
    <w:rsid w:val="002A5DF2"/>
    <w:rsid w:val="002A75A9"/>
    <w:rsid w:val="002B0CCD"/>
    <w:rsid w:val="002B36AB"/>
    <w:rsid w:val="002B4605"/>
    <w:rsid w:val="002B4DB9"/>
    <w:rsid w:val="002B74FC"/>
    <w:rsid w:val="002B7E40"/>
    <w:rsid w:val="002C403C"/>
    <w:rsid w:val="002C7C79"/>
    <w:rsid w:val="002D70B1"/>
    <w:rsid w:val="002D7446"/>
    <w:rsid w:val="002E0BBE"/>
    <w:rsid w:val="002E1062"/>
    <w:rsid w:val="002E165D"/>
    <w:rsid w:val="002E2E00"/>
    <w:rsid w:val="002E5C7D"/>
    <w:rsid w:val="002E6549"/>
    <w:rsid w:val="002E6B3B"/>
    <w:rsid w:val="002E6C48"/>
    <w:rsid w:val="002E7C0A"/>
    <w:rsid w:val="002F2A1D"/>
    <w:rsid w:val="002F2E54"/>
    <w:rsid w:val="002F37E0"/>
    <w:rsid w:val="002F5A64"/>
    <w:rsid w:val="00300EAC"/>
    <w:rsid w:val="003011E8"/>
    <w:rsid w:val="00302C83"/>
    <w:rsid w:val="00303BA0"/>
    <w:rsid w:val="003059FF"/>
    <w:rsid w:val="00306B7E"/>
    <w:rsid w:val="00310739"/>
    <w:rsid w:val="0031738C"/>
    <w:rsid w:val="003212D7"/>
    <w:rsid w:val="00321ADB"/>
    <w:rsid w:val="00321FFB"/>
    <w:rsid w:val="00324C04"/>
    <w:rsid w:val="003306AD"/>
    <w:rsid w:val="003314BB"/>
    <w:rsid w:val="00332B22"/>
    <w:rsid w:val="00333BBE"/>
    <w:rsid w:val="00333E93"/>
    <w:rsid w:val="0033412F"/>
    <w:rsid w:val="00337138"/>
    <w:rsid w:val="00342791"/>
    <w:rsid w:val="00343FF2"/>
    <w:rsid w:val="00345ABE"/>
    <w:rsid w:val="00345F87"/>
    <w:rsid w:val="003467DA"/>
    <w:rsid w:val="00350825"/>
    <w:rsid w:val="00355892"/>
    <w:rsid w:val="0035712D"/>
    <w:rsid w:val="003635CA"/>
    <w:rsid w:val="00363DE8"/>
    <w:rsid w:val="0036608F"/>
    <w:rsid w:val="00367216"/>
    <w:rsid w:val="0037160C"/>
    <w:rsid w:val="003746EB"/>
    <w:rsid w:val="0038007F"/>
    <w:rsid w:val="00383192"/>
    <w:rsid w:val="00385531"/>
    <w:rsid w:val="003857FF"/>
    <w:rsid w:val="00385CE1"/>
    <w:rsid w:val="003867B8"/>
    <w:rsid w:val="003878DB"/>
    <w:rsid w:val="00387A5A"/>
    <w:rsid w:val="0039137B"/>
    <w:rsid w:val="003928A4"/>
    <w:rsid w:val="003963D5"/>
    <w:rsid w:val="00397476"/>
    <w:rsid w:val="0039748F"/>
    <w:rsid w:val="003A01BC"/>
    <w:rsid w:val="003A3752"/>
    <w:rsid w:val="003A5565"/>
    <w:rsid w:val="003A776A"/>
    <w:rsid w:val="003B262B"/>
    <w:rsid w:val="003B4C31"/>
    <w:rsid w:val="003C1563"/>
    <w:rsid w:val="003C342F"/>
    <w:rsid w:val="003C492C"/>
    <w:rsid w:val="003C53B3"/>
    <w:rsid w:val="003D027A"/>
    <w:rsid w:val="003D2B0B"/>
    <w:rsid w:val="003D34E2"/>
    <w:rsid w:val="003D496B"/>
    <w:rsid w:val="003E27DC"/>
    <w:rsid w:val="003F570A"/>
    <w:rsid w:val="00403892"/>
    <w:rsid w:val="00405369"/>
    <w:rsid w:val="00406C0D"/>
    <w:rsid w:val="00413775"/>
    <w:rsid w:val="00415F89"/>
    <w:rsid w:val="00420033"/>
    <w:rsid w:val="004227A9"/>
    <w:rsid w:val="00422F01"/>
    <w:rsid w:val="004267D1"/>
    <w:rsid w:val="004276E6"/>
    <w:rsid w:val="004302EA"/>
    <w:rsid w:val="00436490"/>
    <w:rsid w:val="004413E9"/>
    <w:rsid w:val="0045015B"/>
    <w:rsid w:val="00450213"/>
    <w:rsid w:val="00454442"/>
    <w:rsid w:val="00455072"/>
    <w:rsid w:val="004579E8"/>
    <w:rsid w:val="00461109"/>
    <w:rsid w:val="00467B20"/>
    <w:rsid w:val="004728F8"/>
    <w:rsid w:val="00472EC9"/>
    <w:rsid w:val="00473E01"/>
    <w:rsid w:val="00476E48"/>
    <w:rsid w:val="00477254"/>
    <w:rsid w:val="00482448"/>
    <w:rsid w:val="00484CCA"/>
    <w:rsid w:val="00486518"/>
    <w:rsid w:val="0048698D"/>
    <w:rsid w:val="00496D47"/>
    <w:rsid w:val="00496DC2"/>
    <w:rsid w:val="00496E5D"/>
    <w:rsid w:val="00496E85"/>
    <w:rsid w:val="00497B81"/>
    <w:rsid w:val="004A00D3"/>
    <w:rsid w:val="004A561E"/>
    <w:rsid w:val="004B2574"/>
    <w:rsid w:val="004B44D7"/>
    <w:rsid w:val="004B62F7"/>
    <w:rsid w:val="004B68A1"/>
    <w:rsid w:val="004C2DC2"/>
    <w:rsid w:val="004C3399"/>
    <w:rsid w:val="004C5446"/>
    <w:rsid w:val="004C5EEF"/>
    <w:rsid w:val="004C7B9F"/>
    <w:rsid w:val="004D27E1"/>
    <w:rsid w:val="004D2ADE"/>
    <w:rsid w:val="004D4E9D"/>
    <w:rsid w:val="004E3453"/>
    <w:rsid w:val="004E46ED"/>
    <w:rsid w:val="004E67F6"/>
    <w:rsid w:val="004F2560"/>
    <w:rsid w:val="004F3D61"/>
    <w:rsid w:val="004F4C37"/>
    <w:rsid w:val="004F62FA"/>
    <w:rsid w:val="004F642A"/>
    <w:rsid w:val="004F66F9"/>
    <w:rsid w:val="00500CDA"/>
    <w:rsid w:val="00502756"/>
    <w:rsid w:val="00505034"/>
    <w:rsid w:val="005105F3"/>
    <w:rsid w:val="00513587"/>
    <w:rsid w:val="00513A48"/>
    <w:rsid w:val="00515EE2"/>
    <w:rsid w:val="005175D2"/>
    <w:rsid w:val="00525817"/>
    <w:rsid w:val="00530EBE"/>
    <w:rsid w:val="00531DF7"/>
    <w:rsid w:val="0053633E"/>
    <w:rsid w:val="0054068E"/>
    <w:rsid w:val="00540F30"/>
    <w:rsid w:val="0054661F"/>
    <w:rsid w:val="0055026B"/>
    <w:rsid w:val="00550410"/>
    <w:rsid w:val="00553585"/>
    <w:rsid w:val="00560170"/>
    <w:rsid w:val="00561EAC"/>
    <w:rsid w:val="00573CBE"/>
    <w:rsid w:val="0057479A"/>
    <w:rsid w:val="00574F1E"/>
    <w:rsid w:val="00576D97"/>
    <w:rsid w:val="00580FDA"/>
    <w:rsid w:val="00587E22"/>
    <w:rsid w:val="005901F4"/>
    <w:rsid w:val="0059362A"/>
    <w:rsid w:val="005941FC"/>
    <w:rsid w:val="005944C8"/>
    <w:rsid w:val="005954CA"/>
    <w:rsid w:val="0059585E"/>
    <w:rsid w:val="00595ABE"/>
    <w:rsid w:val="005A07BB"/>
    <w:rsid w:val="005A2306"/>
    <w:rsid w:val="005A2E74"/>
    <w:rsid w:val="005A5140"/>
    <w:rsid w:val="005A52C2"/>
    <w:rsid w:val="005A5E28"/>
    <w:rsid w:val="005A5EAD"/>
    <w:rsid w:val="005B0A11"/>
    <w:rsid w:val="005B32C6"/>
    <w:rsid w:val="005B640E"/>
    <w:rsid w:val="005C0C13"/>
    <w:rsid w:val="005C0E08"/>
    <w:rsid w:val="005C4442"/>
    <w:rsid w:val="005D2908"/>
    <w:rsid w:val="005D4396"/>
    <w:rsid w:val="005D4450"/>
    <w:rsid w:val="005D55C1"/>
    <w:rsid w:val="005E03EE"/>
    <w:rsid w:val="005E1ECE"/>
    <w:rsid w:val="005E3851"/>
    <w:rsid w:val="005E49B3"/>
    <w:rsid w:val="005E511F"/>
    <w:rsid w:val="005E7BE2"/>
    <w:rsid w:val="005F0116"/>
    <w:rsid w:val="005F0CEF"/>
    <w:rsid w:val="005F1AB2"/>
    <w:rsid w:val="005F212A"/>
    <w:rsid w:val="006005D8"/>
    <w:rsid w:val="00602C6A"/>
    <w:rsid w:val="00603A3E"/>
    <w:rsid w:val="006053FA"/>
    <w:rsid w:val="00605648"/>
    <w:rsid w:val="00607F49"/>
    <w:rsid w:val="0061416F"/>
    <w:rsid w:val="006144D4"/>
    <w:rsid w:val="00616B7A"/>
    <w:rsid w:val="00620B1E"/>
    <w:rsid w:val="00621B8A"/>
    <w:rsid w:val="0062549F"/>
    <w:rsid w:val="00625ECD"/>
    <w:rsid w:val="0063058F"/>
    <w:rsid w:val="00631C12"/>
    <w:rsid w:val="00636E8C"/>
    <w:rsid w:val="00640B7A"/>
    <w:rsid w:val="00641D9B"/>
    <w:rsid w:val="00645FAC"/>
    <w:rsid w:val="00650ED6"/>
    <w:rsid w:val="0065107C"/>
    <w:rsid w:val="0065208B"/>
    <w:rsid w:val="00653233"/>
    <w:rsid w:val="00654FD3"/>
    <w:rsid w:val="00655B6A"/>
    <w:rsid w:val="00660DA6"/>
    <w:rsid w:val="006643BC"/>
    <w:rsid w:val="00667126"/>
    <w:rsid w:val="006716F4"/>
    <w:rsid w:val="00673620"/>
    <w:rsid w:val="00676322"/>
    <w:rsid w:val="00680FFA"/>
    <w:rsid w:val="00692772"/>
    <w:rsid w:val="00693351"/>
    <w:rsid w:val="006A5D99"/>
    <w:rsid w:val="006A6435"/>
    <w:rsid w:val="006A7A03"/>
    <w:rsid w:val="006B25F4"/>
    <w:rsid w:val="006B2A7B"/>
    <w:rsid w:val="006B5B6F"/>
    <w:rsid w:val="006B7984"/>
    <w:rsid w:val="006B7EFF"/>
    <w:rsid w:val="006D007E"/>
    <w:rsid w:val="006D11CF"/>
    <w:rsid w:val="006D190B"/>
    <w:rsid w:val="006D2AA2"/>
    <w:rsid w:val="006D5969"/>
    <w:rsid w:val="006D5D58"/>
    <w:rsid w:val="006E2E92"/>
    <w:rsid w:val="006F10D3"/>
    <w:rsid w:val="006F6343"/>
    <w:rsid w:val="00702956"/>
    <w:rsid w:val="007042A8"/>
    <w:rsid w:val="00710663"/>
    <w:rsid w:val="007115CB"/>
    <w:rsid w:val="00716485"/>
    <w:rsid w:val="007174C8"/>
    <w:rsid w:val="0072068D"/>
    <w:rsid w:val="0072308C"/>
    <w:rsid w:val="00723ED5"/>
    <w:rsid w:val="00724C65"/>
    <w:rsid w:val="00725674"/>
    <w:rsid w:val="0072682E"/>
    <w:rsid w:val="00726FC0"/>
    <w:rsid w:val="00732793"/>
    <w:rsid w:val="00733676"/>
    <w:rsid w:val="00736F34"/>
    <w:rsid w:val="00737835"/>
    <w:rsid w:val="007378A4"/>
    <w:rsid w:val="00742A94"/>
    <w:rsid w:val="00742B40"/>
    <w:rsid w:val="00743605"/>
    <w:rsid w:val="00744FB2"/>
    <w:rsid w:val="007476FC"/>
    <w:rsid w:val="007618F7"/>
    <w:rsid w:val="00763290"/>
    <w:rsid w:val="00766CEC"/>
    <w:rsid w:val="007705FC"/>
    <w:rsid w:val="00770F8A"/>
    <w:rsid w:val="00771B3B"/>
    <w:rsid w:val="0077365B"/>
    <w:rsid w:val="0077744C"/>
    <w:rsid w:val="00781638"/>
    <w:rsid w:val="00784064"/>
    <w:rsid w:val="00785DD3"/>
    <w:rsid w:val="007A4105"/>
    <w:rsid w:val="007A633C"/>
    <w:rsid w:val="007A74C5"/>
    <w:rsid w:val="007B1289"/>
    <w:rsid w:val="007B322C"/>
    <w:rsid w:val="007B3A65"/>
    <w:rsid w:val="007B5A55"/>
    <w:rsid w:val="007C1A48"/>
    <w:rsid w:val="007C1CCB"/>
    <w:rsid w:val="007C3C36"/>
    <w:rsid w:val="007C6638"/>
    <w:rsid w:val="007C75CE"/>
    <w:rsid w:val="007C75FF"/>
    <w:rsid w:val="007D1800"/>
    <w:rsid w:val="007D284D"/>
    <w:rsid w:val="007D4D47"/>
    <w:rsid w:val="007E061F"/>
    <w:rsid w:val="007E0727"/>
    <w:rsid w:val="007E26E5"/>
    <w:rsid w:val="007E3DE6"/>
    <w:rsid w:val="007E60EF"/>
    <w:rsid w:val="007F5C2B"/>
    <w:rsid w:val="007F61DA"/>
    <w:rsid w:val="007F6624"/>
    <w:rsid w:val="007F66EB"/>
    <w:rsid w:val="00800396"/>
    <w:rsid w:val="008070FE"/>
    <w:rsid w:val="00813E49"/>
    <w:rsid w:val="00821A0B"/>
    <w:rsid w:val="0082459E"/>
    <w:rsid w:val="0082470B"/>
    <w:rsid w:val="008258D4"/>
    <w:rsid w:val="008278D4"/>
    <w:rsid w:val="00827B71"/>
    <w:rsid w:val="0083185D"/>
    <w:rsid w:val="0083411E"/>
    <w:rsid w:val="0083428E"/>
    <w:rsid w:val="00835EA3"/>
    <w:rsid w:val="0084109F"/>
    <w:rsid w:val="008432C7"/>
    <w:rsid w:val="008436F8"/>
    <w:rsid w:val="0084522F"/>
    <w:rsid w:val="00857D39"/>
    <w:rsid w:val="008609BB"/>
    <w:rsid w:val="00864501"/>
    <w:rsid w:val="00873A5D"/>
    <w:rsid w:val="00873D5B"/>
    <w:rsid w:val="00874273"/>
    <w:rsid w:val="00875AA6"/>
    <w:rsid w:val="0087686C"/>
    <w:rsid w:val="00880E86"/>
    <w:rsid w:val="0088286B"/>
    <w:rsid w:val="0088302F"/>
    <w:rsid w:val="00885305"/>
    <w:rsid w:val="008860D9"/>
    <w:rsid w:val="00892CE6"/>
    <w:rsid w:val="0089505A"/>
    <w:rsid w:val="0089534F"/>
    <w:rsid w:val="00895AF4"/>
    <w:rsid w:val="00897B0E"/>
    <w:rsid w:val="008A18FD"/>
    <w:rsid w:val="008A42B8"/>
    <w:rsid w:val="008A4F34"/>
    <w:rsid w:val="008A5947"/>
    <w:rsid w:val="008A6C6C"/>
    <w:rsid w:val="008B0FCB"/>
    <w:rsid w:val="008B2356"/>
    <w:rsid w:val="008B4547"/>
    <w:rsid w:val="008B5FD4"/>
    <w:rsid w:val="008C01CF"/>
    <w:rsid w:val="008C4111"/>
    <w:rsid w:val="008C664E"/>
    <w:rsid w:val="008D3B68"/>
    <w:rsid w:val="008D3F48"/>
    <w:rsid w:val="008E3117"/>
    <w:rsid w:val="008E33F6"/>
    <w:rsid w:val="008E565F"/>
    <w:rsid w:val="008E6159"/>
    <w:rsid w:val="008E72DA"/>
    <w:rsid w:val="008F1C74"/>
    <w:rsid w:val="008F1EB0"/>
    <w:rsid w:val="008F272C"/>
    <w:rsid w:val="008F296E"/>
    <w:rsid w:val="008F41C2"/>
    <w:rsid w:val="008F4AC7"/>
    <w:rsid w:val="008F51D2"/>
    <w:rsid w:val="008F67BA"/>
    <w:rsid w:val="00900C37"/>
    <w:rsid w:val="00901F2F"/>
    <w:rsid w:val="00905031"/>
    <w:rsid w:val="00907587"/>
    <w:rsid w:val="0091059A"/>
    <w:rsid w:val="00911DF4"/>
    <w:rsid w:val="00916064"/>
    <w:rsid w:val="0091621A"/>
    <w:rsid w:val="009262C3"/>
    <w:rsid w:val="009266BC"/>
    <w:rsid w:val="00930325"/>
    <w:rsid w:val="00932B20"/>
    <w:rsid w:val="00933BDD"/>
    <w:rsid w:val="00935926"/>
    <w:rsid w:val="0094525C"/>
    <w:rsid w:val="00952FA2"/>
    <w:rsid w:val="00953D6B"/>
    <w:rsid w:val="009649F5"/>
    <w:rsid w:val="00964EC4"/>
    <w:rsid w:val="00966386"/>
    <w:rsid w:val="00966EB4"/>
    <w:rsid w:val="009670C7"/>
    <w:rsid w:val="00967111"/>
    <w:rsid w:val="00971C2C"/>
    <w:rsid w:val="00972102"/>
    <w:rsid w:val="00973339"/>
    <w:rsid w:val="00974905"/>
    <w:rsid w:val="0098415E"/>
    <w:rsid w:val="009845B8"/>
    <w:rsid w:val="00992D1F"/>
    <w:rsid w:val="00995428"/>
    <w:rsid w:val="00996FB4"/>
    <w:rsid w:val="00997276"/>
    <w:rsid w:val="009A443A"/>
    <w:rsid w:val="009B0430"/>
    <w:rsid w:val="009B0F7B"/>
    <w:rsid w:val="009B2151"/>
    <w:rsid w:val="009B2230"/>
    <w:rsid w:val="009B3FE0"/>
    <w:rsid w:val="009B4881"/>
    <w:rsid w:val="009B61E5"/>
    <w:rsid w:val="009B7696"/>
    <w:rsid w:val="009C0878"/>
    <w:rsid w:val="009C0998"/>
    <w:rsid w:val="009C180B"/>
    <w:rsid w:val="009C2565"/>
    <w:rsid w:val="009C28BB"/>
    <w:rsid w:val="009C3282"/>
    <w:rsid w:val="009D07E6"/>
    <w:rsid w:val="009D12E1"/>
    <w:rsid w:val="009E1762"/>
    <w:rsid w:val="009F18AB"/>
    <w:rsid w:val="009F3E8E"/>
    <w:rsid w:val="009F3F68"/>
    <w:rsid w:val="009F4F6B"/>
    <w:rsid w:val="00A037E2"/>
    <w:rsid w:val="00A03C11"/>
    <w:rsid w:val="00A03F73"/>
    <w:rsid w:val="00A04380"/>
    <w:rsid w:val="00A12D79"/>
    <w:rsid w:val="00A306BA"/>
    <w:rsid w:val="00A306C0"/>
    <w:rsid w:val="00A30AFA"/>
    <w:rsid w:val="00A30D05"/>
    <w:rsid w:val="00A3272D"/>
    <w:rsid w:val="00A374F6"/>
    <w:rsid w:val="00A400E2"/>
    <w:rsid w:val="00A41E93"/>
    <w:rsid w:val="00A61465"/>
    <w:rsid w:val="00A70D54"/>
    <w:rsid w:val="00A75B04"/>
    <w:rsid w:val="00A77170"/>
    <w:rsid w:val="00A80870"/>
    <w:rsid w:val="00A818C1"/>
    <w:rsid w:val="00A81BE1"/>
    <w:rsid w:val="00A83871"/>
    <w:rsid w:val="00A8391F"/>
    <w:rsid w:val="00A83CB0"/>
    <w:rsid w:val="00A842C9"/>
    <w:rsid w:val="00A8442D"/>
    <w:rsid w:val="00A84C29"/>
    <w:rsid w:val="00A94BF6"/>
    <w:rsid w:val="00A95757"/>
    <w:rsid w:val="00A959ED"/>
    <w:rsid w:val="00AA3B98"/>
    <w:rsid w:val="00AA54F9"/>
    <w:rsid w:val="00AA5743"/>
    <w:rsid w:val="00AB0077"/>
    <w:rsid w:val="00AB1C21"/>
    <w:rsid w:val="00AC0217"/>
    <w:rsid w:val="00AC2CC6"/>
    <w:rsid w:val="00AC32B3"/>
    <w:rsid w:val="00AD0C25"/>
    <w:rsid w:val="00AD28E9"/>
    <w:rsid w:val="00AD409B"/>
    <w:rsid w:val="00AD5A90"/>
    <w:rsid w:val="00AD6131"/>
    <w:rsid w:val="00AD72E1"/>
    <w:rsid w:val="00AD7C69"/>
    <w:rsid w:val="00AE3F97"/>
    <w:rsid w:val="00AE6982"/>
    <w:rsid w:val="00AE7AC6"/>
    <w:rsid w:val="00AE7B2F"/>
    <w:rsid w:val="00AF2BED"/>
    <w:rsid w:val="00AF54CB"/>
    <w:rsid w:val="00B00077"/>
    <w:rsid w:val="00B0160B"/>
    <w:rsid w:val="00B01945"/>
    <w:rsid w:val="00B03A37"/>
    <w:rsid w:val="00B03B16"/>
    <w:rsid w:val="00B04730"/>
    <w:rsid w:val="00B05F6C"/>
    <w:rsid w:val="00B114B4"/>
    <w:rsid w:val="00B13034"/>
    <w:rsid w:val="00B14095"/>
    <w:rsid w:val="00B2119E"/>
    <w:rsid w:val="00B234F8"/>
    <w:rsid w:val="00B31A2E"/>
    <w:rsid w:val="00B32C2C"/>
    <w:rsid w:val="00B3459B"/>
    <w:rsid w:val="00B41F2C"/>
    <w:rsid w:val="00B42FB8"/>
    <w:rsid w:val="00B46471"/>
    <w:rsid w:val="00B46ADA"/>
    <w:rsid w:val="00B46E58"/>
    <w:rsid w:val="00B4777B"/>
    <w:rsid w:val="00B477C9"/>
    <w:rsid w:val="00B501EC"/>
    <w:rsid w:val="00B51003"/>
    <w:rsid w:val="00B54570"/>
    <w:rsid w:val="00B55290"/>
    <w:rsid w:val="00B56576"/>
    <w:rsid w:val="00B6078F"/>
    <w:rsid w:val="00B61E00"/>
    <w:rsid w:val="00B62029"/>
    <w:rsid w:val="00B632B9"/>
    <w:rsid w:val="00B6584B"/>
    <w:rsid w:val="00B67F1B"/>
    <w:rsid w:val="00B716B9"/>
    <w:rsid w:val="00B76A92"/>
    <w:rsid w:val="00B80BA5"/>
    <w:rsid w:val="00B82CEF"/>
    <w:rsid w:val="00B83048"/>
    <w:rsid w:val="00B83FD9"/>
    <w:rsid w:val="00B9284A"/>
    <w:rsid w:val="00BA3AF6"/>
    <w:rsid w:val="00BB1BD6"/>
    <w:rsid w:val="00BB2C37"/>
    <w:rsid w:val="00BB33D9"/>
    <w:rsid w:val="00BB77E5"/>
    <w:rsid w:val="00BC18E8"/>
    <w:rsid w:val="00BC2855"/>
    <w:rsid w:val="00BD35CA"/>
    <w:rsid w:val="00BD4FDC"/>
    <w:rsid w:val="00BD7185"/>
    <w:rsid w:val="00BE053B"/>
    <w:rsid w:val="00BE2103"/>
    <w:rsid w:val="00BE4033"/>
    <w:rsid w:val="00BE4A6F"/>
    <w:rsid w:val="00BE53AB"/>
    <w:rsid w:val="00BE76E6"/>
    <w:rsid w:val="00BF03BE"/>
    <w:rsid w:val="00BF2CA2"/>
    <w:rsid w:val="00BF6DBD"/>
    <w:rsid w:val="00BF79D7"/>
    <w:rsid w:val="00C0284E"/>
    <w:rsid w:val="00C044BB"/>
    <w:rsid w:val="00C07301"/>
    <w:rsid w:val="00C10C20"/>
    <w:rsid w:val="00C137C9"/>
    <w:rsid w:val="00C13C9E"/>
    <w:rsid w:val="00C13CB7"/>
    <w:rsid w:val="00C16513"/>
    <w:rsid w:val="00C16B2A"/>
    <w:rsid w:val="00C1777C"/>
    <w:rsid w:val="00C2732C"/>
    <w:rsid w:val="00C27E5A"/>
    <w:rsid w:val="00C319E4"/>
    <w:rsid w:val="00C3309F"/>
    <w:rsid w:val="00C36035"/>
    <w:rsid w:val="00C369DF"/>
    <w:rsid w:val="00C3758D"/>
    <w:rsid w:val="00C40F34"/>
    <w:rsid w:val="00C444CE"/>
    <w:rsid w:val="00C518B8"/>
    <w:rsid w:val="00C556B2"/>
    <w:rsid w:val="00C6145C"/>
    <w:rsid w:val="00C64172"/>
    <w:rsid w:val="00C65D61"/>
    <w:rsid w:val="00C70ECA"/>
    <w:rsid w:val="00C73441"/>
    <w:rsid w:val="00C74422"/>
    <w:rsid w:val="00C74488"/>
    <w:rsid w:val="00C76A18"/>
    <w:rsid w:val="00C77E53"/>
    <w:rsid w:val="00C818CD"/>
    <w:rsid w:val="00C82433"/>
    <w:rsid w:val="00C82540"/>
    <w:rsid w:val="00C84872"/>
    <w:rsid w:val="00C95ED1"/>
    <w:rsid w:val="00C9658C"/>
    <w:rsid w:val="00CA0A80"/>
    <w:rsid w:val="00CA127F"/>
    <w:rsid w:val="00CB11FC"/>
    <w:rsid w:val="00CB1421"/>
    <w:rsid w:val="00CB4F44"/>
    <w:rsid w:val="00CC32B3"/>
    <w:rsid w:val="00CC4584"/>
    <w:rsid w:val="00CD55B1"/>
    <w:rsid w:val="00CD76A0"/>
    <w:rsid w:val="00CE1596"/>
    <w:rsid w:val="00CE2620"/>
    <w:rsid w:val="00CE30D5"/>
    <w:rsid w:val="00CE3944"/>
    <w:rsid w:val="00CE5CFA"/>
    <w:rsid w:val="00CE6520"/>
    <w:rsid w:val="00CE7F1C"/>
    <w:rsid w:val="00CF1E95"/>
    <w:rsid w:val="00CF2AED"/>
    <w:rsid w:val="00CF595E"/>
    <w:rsid w:val="00D03E70"/>
    <w:rsid w:val="00D03F3C"/>
    <w:rsid w:val="00D04715"/>
    <w:rsid w:val="00D10409"/>
    <w:rsid w:val="00D1116A"/>
    <w:rsid w:val="00D1224E"/>
    <w:rsid w:val="00D128CB"/>
    <w:rsid w:val="00D208AD"/>
    <w:rsid w:val="00D2240E"/>
    <w:rsid w:val="00D26975"/>
    <w:rsid w:val="00D312BD"/>
    <w:rsid w:val="00D316FE"/>
    <w:rsid w:val="00D32B8E"/>
    <w:rsid w:val="00D33E89"/>
    <w:rsid w:val="00D359A8"/>
    <w:rsid w:val="00D36628"/>
    <w:rsid w:val="00D426F0"/>
    <w:rsid w:val="00D51011"/>
    <w:rsid w:val="00D55A8B"/>
    <w:rsid w:val="00D57020"/>
    <w:rsid w:val="00D600F3"/>
    <w:rsid w:val="00D60DE9"/>
    <w:rsid w:val="00D61046"/>
    <w:rsid w:val="00D63861"/>
    <w:rsid w:val="00D67331"/>
    <w:rsid w:val="00D7095A"/>
    <w:rsid w:val="00D74847"/>
    <w:rsid w:val="00D8065C"/>
    <w:rsid w:val="00D80906"/>
    <w:rsid w:val="00D84FA2"/>
    <w:rsid w:val="00D85256"/>
    <w:rsid w:val="00D853E9"/>
    <w:rsid w:val="00D85A43"/>
    <w:rsid w:val="00DA1079"/>
    <w:rsid w:val="00DA627F"/>
    <w:rsid w:val="00DA73A5"/>
    <w:rsid w:val="00DB7028"/>
    <w:rsid w:val="00DB7408"/>
    <w:rsid w:val="00DB75E1"/>
    <w:rsid w:val="00DC2628"/>
    <w:rsid w:val="00DC53CD"/>
    <w:rsid w:val="00DC707F"/>
    <w:rsid w:val="00DC7D1D"/>
    <w:rsid w:val="00DD0C9A"/>
    <w:rsid w:val="00DD0CC3"/>
    <w:rsid w:val="00DD0FFE"/>
    <w:rsid w:val="00DD25CA"/>
    <w:rsid w:val="00DD6E6A"/>
    <w:rsid w:val="00DE06B1"/>
    <w:rsid w:val="00DE0F51"/>
    <w:rsid w:val="00DE2487"/>
    <w:rsid w:val="00DE53A7"/>
    <w:rsid w:val="00DF1B85"/>
    <w:rsid w:val="00DF213F"/>
    <w:rsid w:val="00DF7090"/>
    <w:rsid w:val="00E0453F"/>
    <w:rsid w:val="00E11680"/>
    <w:rsid w:val="00E11CB9"/>
    <w:rsid w:val="00E1261C"/>
    <w:rsid w:val="00E128EE"/>
    <w:rsid w:val="00E132A4"/>
    <w:rsid w:val="00E15917"/>
    <w:rsid w:val="00E164CF"/>
    <w:rsid w:val="00E2074F"/>
    <w:rsid w:val="00E22826"/>
    <w:rsid w:val="00E26330"/>
    <w:rsid w:val="00E325D8"/>
    <w:rsid w:val="00E3472F"/>
    <w:rsid w:val="00E352CE"/>
    <w:rsid w:val="00E36F7A"/>
    <w:rsid w:val="00E37E2A"/>
    <w:rsid w:val="00E43A88"/>
    <w:rsid w:val="00E442EC"/>
    <w:rsid w:val="00E45154"/>
    <w:rsid w:val="00E57CF9"/>
    <w:rsid w:val="00E60B8D"/>
    <w:rsid w:val="00E61B32"/>
    <w:rsid w:val="00E64EBD"/>
    <w:rsid w:val="00E65808"/>
    <w:rsid w:val="00E67630"/>
    <w:rsid w:val="00E72014"/>
    <w:rsid w:val="00E724BB"/>
    <w:rsid w:val="00E76B39"/>
    <w:rsid w:val="00E8510B"/>
    <w:rsid w:val="00E916E3"/>
    <w:rsid w:val="00E91904"/>
    <w:rsid w:val="00E94348"/>
    <w:rsid w:val="00E9533F"/>
    <w:rsid w:val="00E965CB"/>
    <w:rsid w:val="00EA6291"/>
    <w:rsid w:val="00EA6448"/>
    <w:rsid w:val="00EA7792"/>
    <w:rsid w:val="00EB1622"/>
    <w:rsid w:val="00EB236D"/>
    <w:rsid w:val="00EB3629"/>
    <w:rsid w:val="00EB39A3"/>
    <w:rsid w:val="00EB578E"/>
    <w:rsid w:val="00EB722D"/>
    <w:rsid w:val="00EC35A0"/>
    <w:rsid w:val="00ED3CC7"/>
    <w:rsid w:val="00ED3FC4"/>
    <w:rsid w:val="00ED4184"/>
    <w:rsid w:val="00ED6E8A"/>
    <w:rsid w:val="00ED73CA"/>
    <w:rsid w:val="00EE576D"/>
    <w:rsid w:val="00EE7240"/>
    <w:rsid w:val="00EF162B"/>
    <w:rsid w:val="00F01C6E"/>
    <w:rsid w:val="00F03E85"/>
    <w:rsid w:val="00F0433B"/>
    <w:rsid w:val="00F046F0"/>
    <w:rsid w:val="00F07460"/>
    <w:rsid w:val="00F105D8"/>
    <w:rsid w:val="00F13A8C"/>
    <w:rsid w:val="00F144DF"/>
    <w:rsid w:val="00F1734A"/>
    <w:rsid w:val="00F20C74"/>
    <w:rsid w:val="00F220AA"/>
    <w:rsid w:val="00F26958"/>
    <w:rsid w:val="00F3474F"/>
    <w:rsid w:val="00F34BC6"/>
    <w:rsid w:val="00F4053D"/>
    <w:rsid w:val="00F40D3C"/>
    <w:rsid w:val="00F443DC"/>
    <w:rsid w:val="00F456F1"/>
    <w:rsid w:val="00F47232"/>
    <w:rsid w:val="00F51EF6"/>
    <w:rsid w:val="00F52B80"/>
    <w:rsid w:val="00F56723"/>
    <w:rsid w:val="00F5774C"/>
    <w:rsid w:val="00F61057"/>
    <w:rsid w:val="00F62463"/>
    <w:rsid w:val="00F62E8D"/>
    <w:rsid w:val="00F63C35"/>
    <w:rsid w:val="00F65E0F"/>
    <w:rsid w:val="00F70E2E"/>
    <w:rsid w:val="00F752F2"/>
    <w:rsid w:val="00F76DCB"/>
    <w:rsid w:val="00F80245"/>
    <w:rsid w:val="00F80FCF"/>
    <w:rsid w:val="00F8158E"/>
    <w:rsid w:val="00F845A3"/>
    <w:rsid w:val="00F92671"/>
    <w:rsid w:val="00F92A82"/>
    <w:rsid w:val="00F92DD4"/>
    <w:rsid w:val="00F94775"/>
    <w:rsid w:val="00FA2975"/>
    <w:rsid w:val="00FA3444"/>
    <w:rsid w:val="00FA423A"/>
    <w:rsid w:val="00FA65B0"/>
    <w:rsid w:val="00FB4D8B"/>
    <w:rsid w:val="00FB5D8F"/>
    <w:rsid w:val="00FB7A3B"/>
    <w:rsid w:val="00FC37EE"/>
    <w:rsid w:val="00FC46F3"/>
    <w:rsid w:val="00FC4ECE"/>
    <w:rsid w:val="00FC53D0"/>
    <w:rsid w:val="00FD140F"/>
    <w:rsid w:val="00FD5223"/>
    <w:rsid w:val="00FD6896"/>
    <w:rsid w:val="00FE1B05"/>
    <w:rsid w:val="00FE4098"/>
    <w:rsid w:val="00FE5666"/>
    <w:rsid w:val="00FE5A95"/>
    <w:rsid w:val="00FF0D3D"/>
    <w:rsid w:val="00FF3E54"/>
    <w:rsid w:val="00FF4067"/>
    <w:rsid w:val="00FF5F37"/>
    <w:rsid w:val="00FF71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D667EC6"/>
  <w15:docId w15:val="{A24AC069-E367-4328-9839-138B71D87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E6B3B"/>
    <w:pPr>
      <w:spacing w:after="160" w:line="259" w:lineRule="auto"/>
    </w:pPr>
  </w:style>
  <w:style w:type="paragraph" w:styleId="1">
    <w:name w:val="heading 1"/>
    <w:basedOn w:val="a"/>
    <w:next w:val="a"/>
    <w:link w:val="10"/>
    <w:uiPriority w:val="9"/>
    <w:qFormat/>
    <w:rsid w:val="000300D0"/>
    <w:pPr>
      <w:autoSpaceDE w:val="0"/>
      <w:autoSpaceDN w:val="0"/>
      <w:adjustRightInd w:val="0"/>
      <w:spacing w:after="240" w:line="240" w:lineRule="auto"/>
      <w:jc w:val="both"/>
      <w:outlineLvl w:val="0"/>
    </w:pPr>
    <w:rPr>
      <w:rFonts w:ascii="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02756"/>
    <w:pPr>
      <w:widowControl w:val="0"/>
      <w:autoSpaceDE w:val="0"/>
      <w:autoSpaceDN w:val="0"/>
      <w:spacing w:after="0" w:line="240" w:lineRule="auto"/>
    </w:pPr>
    <w:rPr>
      <w:rFonts w:ascii="Calibri" w:eastAsia="Times New Roman" w:hAnsi="Calibri" w:cs="Calibri"/>
      <w:szCs w:val="20"/>
      <w:lang w:eastAsia="ru-RU"/>
    </w:rPr>
  </w:style>
  <w:style w:type="paragraph" w:styleId="a3">
    <w:name w:val="List Paragraph"/>
    <w:basedOn w:val="a"/>
    <w:uiPriority w:val="34"/>
    <w:qFormat/>
    <w:rsid w:val="0059362A"/>
    <w:pPr>
      <w:ind w:left="720"/>
      <w:contextualSpacing/>
    </w:pPr>
  </w:style>
  <w:style w:type="character" w:styleId="a4">
    <w:name w:val="annotation reference"/>
    <w:basedOn w:val="a0"/>
    <w:uiPriority w:val="99"/>
    <w:unhideWhenUsed/>
    <w:rsid w:val="0077365B"/>
    <w:rPr>
      <w:sz w:val="16"/>
      <w:szCs w:val="16"/>
    </w:rPr>
  </w:style>
  <w:style w:type="paragraph" w:styleId="a5">
    <w:name w:val="annotation text"/>
    <w:basedOn w:val="a"/>
    <w:link w:val="a6"/>
    <w:uiPriority w:val="99"/>
    <w:unhideWhenUsed/>
    <w:rsid w:val="0077365B"/>
    <w:pPr>
      <w:spacing w:line="240" w:lineRule="auto"/>
    </w:pPr>
    <w:rPr>
      <w:sz w:val="20"/>
      <w:szCs w:val="20"/>
    </w:rPr>
  </w:style>
  <w:style w:type="character" w:customStyle="1" w:styleId="a6">
    <w:name w:val="Текст примечания Знак"/>
    <w:basedOn w:val="a0"/>
    <w:link w:val="a5"/>
    <w:uiPriority w:val="99"/>
    <w:rsid w:val="0077365B"/>
    <w:rPr>
      <w:sz w:val="20"/>
      <w:szCs w:val="20"/>
    </w:rPr>
  </w:style>
  <w:style w:type="paragraph" w:styleId="a7">
    <w:name w:val="Balloon Text"/>
    <w:basedOn w:val="a"/>
    <w:link w:val="a8"/>
    <w:uiPriority w:val="99"/>
    <w:semiHidden/>
    <w:unhideWhenUsed/>
    <w:rsid w:val="0077365B"/>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77365B"/>
    <w:rPr>
      <w:rFonts w:ascii="Tahoma" w:hAnsi="Tahoma" w:cs="Tahoma"/>
      <w:sz w:val="16"/>
      <w:szCs w:val="16"/>
    </w:rPr>
  </w:style>
  <w:style w:type="paragraph" w:styleId="a9">
    <w:name w:val="annotation subject"/>
    <w:basedOn w:val="a5"/>
    <w:next w:val="a5"/>
    <w:link w:val="aa"/>
    <w:uiPriority w:val="99"/>
    <w:semiHidden/>
    <w:unhideWhenUsed/>
    <w:rsid w:val="0077365B"/>
    <w:rPr>
      <w:b/>
      <w:bCs/>
    </w:rPr>
  </w:style>
  <w:style w:type="character" w:customStyle="1" w:styleId="aa">
    <w:name w:val="Тема примечания Знак"/>
    <w:basedOn w:val="a6"/>
    <w:link w:val="a9"/>
    <w:uiPriority w:val="99"/>
    <w:semiHidden/>
    <w:rsid w:val="0077365B"/>
    <w:rPr>
      <w:b/>
      <w:bCs/>
      <w:sz w:val="20"/>
      <w:szCs w:val="20"/>
    </w:rPr>
  </w:style>
  <w:style w:type="paragraph" w:customStyle="1" w:styleId="ConsPlusNonformat">
    <w:name w:val="ConsPlusNonformat"/>
    <w:rsid w:val="00A0438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Document Map"/>
    <w:basedOn w:val="a"/>
    <w:link w:val="ac"/>
    <w:uiPriority w:val="99"/>
    <w:semiHidden/>
    <w:unhideWhenUsed/>
    <w:rsid w:val="008F51D2"/>
    <w:pPr>
      <w:spacing w:after="0" w:line="240" w:lineRule="auto"/>
    </w:pPr>
    <w:rPr>
      <w:rFonts w:ascii="Tahoma" w:hAnsi="Tahoma" w:cs="Tahoma"/>
      <w:sz w:val="16"/>
      <w:szCs w:val="16"/>
    </w:rPr>
  </w:style>
  <w:style w:type="character" w:customStyle="1" w:styleId="ac">
    <w:name w:val="Схема документа Знак"/>
    <w:basedOn w:val="a0"/>
    <w:link w:val="ab"/>
    <w:uiPriority w:val="99"/>
    <w:semiHidden/>
    <w:rsid w:val="008F51D2"/>
    <w:rPr>
      <w:rFonts w:ascii="Tahoma" w:hAnsi="Tahoma" w:cs="Tahoma"/>
      <w:sz w:val="16"/>
      <w:szCs w:val="16"/>
    </w:rPr>
  </w:style>
  <w:style w:type="table" w:styleId="ad">
    <w:name w:val="Table Grid"/>
    <w:basedOn w:val="a1"/>
    <w:uiPriority w:val="39"/>
    <w:rsid w:val="00D610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footnote text"/>
    <w:basedOn w:val="a"/>
    <w:link w:val="af"/>
    <w:uiPriority w:val="99"/>
    <w:semiHidden/>
    <w:unhideWhenUsed/>
    <w:rsid w:val="00496E5D"/>
    <w:pPr>
      <w:spacing w:after="0" w:line="240" w:lineRule="auto"/>
    </w:pPr>
    <w:rPr>
      <w:sz w:val="20"/>
      <w:szCs w:val="20"/>
    </w:rPr>
  </w:style>
  <w:style w:type="character" w:customStyle="1" w:styleId="af">
    <w:name w:val="Текст сноски Знак"/>
    <w:basedOn w:val="a0"/>
    <w:link w:val="ae"/>
    <w:uiPriority w:val="99"/>
    <w:semiHidden/>
    <w:rsid w:val="00496E5D"/>
    <w:rPr>
      <w:sz w:val="20"/>
      <w:szCs w:val="20"/>
    </w:rPr>
  </w:style>
  <w:style w:type="character" w:styleId="af0">
    <w:name w:val="footnote reference"/>
    <w:basedOn w:val="a0"/>
    <w:uiPriority w:val="99"/>
    <w:semiHidden/>
    <w:unhideWhenUsed/>
    <w:rsid w:val="00496E5D"/>
    <w:rPr>
      <w:vertAlign w:val="superscript"/>
    </w:rPr>
  </w:style>
  <w:style w:type="paragraph" w:customStyle="1" w:styleId="ConsPlusTitle">
    <w:name w:val="ConsPlusTitle"/>
    <w:rsid w:val="00420033"/>
    <w:pPr>
      <w:widowControl w:val="0"/>
      <w:autoSpaceDE w:val="0"/>
      <w:autoSpaceDN w:val="0"/>
      <w:spacing w:after="0" w:line="240" w:lineRule="auto"/>
    </w:pPr>
    <w:rPr>
      <w:rFonts w:ascii="Calibri" w:eastAsia="Times New Roman" w:hAnsi="Calibri" w:cs="Calibri"/>
      <w:b/>
      <w:szCs w:val="20"/>
      <w:lang w:eastAsia="ru-RU"/>
    </w:rPr>
  </w:style>
  <w:style w:type="paragraph" w:styleId="af1">
    <w:name w:val="header"/>
    <w:basedOn w:val="a"/>
    <w:link w:val="af2"/>
    <w:uiPriority w:val="99"/>
    <w:unhideWhenUsed/>
    <w:rsid w:val="00F1734A"/>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1734A"/>
  </w:style>
  <w:style w:type="paragraph" w:styleId="af3">
    <w:name w:val="footer"/>
    <w:basedOn w:val="a"/>
    <w:link w:val="af4"/>
    <w:uiPriority w:val="99"/>
    <w:unhideWhenUsed/>
    <w:rsid w:val="00F1734A"/>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1734A"/>
  </w:style>
  <w:style w:type="table" w:customStyle="1" w:styleId="11">
    <w:name w:val="Сетка таблицы1"/>
    <w:basedOn w:val="a1"/>
    <w:next w:val="ad"/>
    <w:uiPriority w:val="59"/>
    <w:rsid w:val="00C82433"/>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
    <w:name w:val="Знак Знак2"/>
    <w:basedOn w:val="a"/>
    <w:uiPriority w:val="99"/>
    <w:rsid w:val="00C82433"/>
    <w:pPr>
      <w:spacing w:line="240" w:lineRule="exact"/>
    </w:pPr>
    <w:rPr>
      <w:rFonts w:ascii="Verdana" w:eastAsia="Times New Roman" w:hAnsi="Verdana" w:cs="Verdana"/>
      <w:sz w:val="20"/>
      <w:szCs w:val="20"/>
      <w:lang w:val="en-US"/>
    </w:rPr>
  </w:style>
  <w:style w:type="table" w:customStyle="1" w:styleId="20">
    <w:name w:val="Сетка таблицы2"/>
    <w:basedOn w:val="a1"/>
    <w:next w:val="ad"/>
    <w:uiPriority w:val="39"/>
    <w:rsid w:val="005E7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Сетка таблицы3"/>
    <w:basedOn w:val="a1"/>
    <w:next w:val="ad"/>
    <w:uiPriority w:val="39"/>
    <w:rsid w:val="005E7B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d"/>
    <w:uiPriority w:val="39"/>
    <w:rsid w:val="00F92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d"/>
    <w:uiPriority w:val="39"/>
    <w:rsid w:val="00F92A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1"/>
    <w:basedOn w:val="a1"/>
    <w:next w:val="ad"/>
    <w:uiPriority w:val="39"/>
    <w:rsid w:val="00996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1"/>
    <w:basedOn w:val="a1"/>
    <w:next w:val="ad"/>
    <w:uiPriority w:val="39"/>
    <w:rsid w:val="00996F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етка таблицы32"/>
    <w:basedOn w:val="a1"/>
    <w:next w:val="ad"/>
    <w:uiPriority w:val="39"/>
    <w:rsid w:val="00F62E8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2"/>
    <w:basedOn w:val="a1"/>
    <w:next w:val="ad"/>
    <w:uiPriority w:val="39"/>
    <w:rsid w:val="0056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next w:val="ad"/>
    <w:uiPriority w:val="39"/>
    <w:rsid w:val="00561E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next w:val="ad"/>
    <w:uiPriority w:val="39"/>
    <w:rsid w:val="008003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next w:val="ad"/>
    <w:uiPriority w:val="39"/>
    <w:rsid w:val="009160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6"/>
    <w:basedOn w:val="a1"/>
    <w:next w:val="ad"/>
    <w:uiPriority w:val="39"/>
    <w:rsid w:val="00273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
    <w:name w:val="Сетка таблицы351"/>
    <w:basedOn w:val="a1"/>
    <w:next w:val="ad"/>
    <w:uiPriority w:val="39"/>
    <w:rsid w:val="00E34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
    <w:name w:val="Сетка таблицы352"/>
    <w:basedOn w:val="a1"/>
    <w:next w:val="ad"/>
    <w:uiPriority w:val="39"/>
    <w:rsid w:val="007327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d"/>
    <w:uiPriority w:val="59"/>
    <w:rsid w:val="00A41E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d"/>
    <w:uiPriority w:val="59"/>
    <w:rsid w:val="008E33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C028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uiPriority w:val="9"/>
    <w:rsid w:val="000300D0"/>
    <w:rPr>
      <w:rFonts w:ascii="Times New Roman" w:hAnsi="Times New Roman" w:cs="Times New Roman"/>
      <w:sz w:val="24"/>
      <w:szCs w:val="24"/>
    </w:rPr>
  </w:style>
  <w:style w:type="character" w:customStyle="1" w:styleId="23">
    <w:name w:val="Основной текст (2)_"/>
    <w:basedOn w:val="a0"/>
    <w:link w:val="24"/>
    <w:rsid w:val="00B56576"/>
    <w:rPr>
      <w:rFonts w:ascii="Times New Roman" w:eastAsia="Times New Roman" w:hAnsi="Times New Roman" w:cs="Times New Roman"/>
      <w:shd w:val="clear" w:color="auto" w:fill="FFFFFF"/>
    </w:rPr>
  </w:style>
  <w:style w:type="paragraph" w:customStyle="1" w:styleId="24">
    <w:name w:val="Основной текст (2)"/>
    <w:basedOn w:val="a"/>
    <w:link w:val="23"/>
    <w:rsid w:val="00B56576"/>
    <w:pPr>
      <w:widowControl w:val="0"/>
      <w:shd w:val="clear" w:color="auto" w:fill="FFFFFF"/>
      <w:spacing w:before="300" w:after="0" w:line="250" w:lineRule="exact"/>
      <w:ind w:hanging="420"/>
      <w:jc w:val="both"/>
    </w:pPr>
    <w:rPr>
      <w:rFonts w:ascii="Times New Roman" w:eastAsia="Times New Roman" w:hAnsi="Times New Roman" w:cs="Times New Roman"/>
    </w:rPr>
  </w:style>
  <w:style w:type="character" w:customStyle="1" w:styleId="25">
    <w:name w:val="Основной текст (2) + Полужирный;Курсив"/>
    <w:basedOn w:val="23"/>
    <w:rsid w:val="00B5657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9">
    <w:name w:val="Основной текст (9)_"/>
    <w:basedOn w:val="a0"/>
    <w:link w:val="90"/>
    <w:rsid w:val="00B501EC"/>
    <w:rPr>
      <w:rFonts w:ascii="Times New Roman" w:eastAsia="Times New Roman" w:hAnsi="Times New Roman" w:cs="Times New Roman"/>
      <w:b/>
      <w:bCs/>
      <w:i/>
      <w:iCs/>
      <w:shd w:val="clear" w:color="auto" w:fill="FFFFFF"/>
    </w:rPr>
  </w:style>
  <w:style w:type="paragraph" w:customStyle="1" w:styleId="90">
    <w:name w:val="Основной текст (9)"/>
    <w:basedOn w:val="a"/>
    <w:link w:val="9"/>
    <w:rsid w:val="00B501EC"/>
    <w:pPr>
      <w:widowControl w:val="0"/>
      <w:shd w:val="clear" w:color="auto" w:fill="FFFFFF"/>
      <w:spacing w:after="0" w:line="504" w:lineRule="exact"/>
      <w:jc w:val="both"/>
    </w:pPr>
    <w:rPr>
      <w:rFonts w:ascii="Times New Roman" w:eastAsia="Times New Roman" w:hAnsi="Times New Roman" w:cs="Times New Roman"/>
      <w:b/>
      <w:bCs/>
      <w:i/>
      <w:iCs/>
    </w:rPr>
  </w:style>
  <w:style w:type="character" w:customStyle="1" w:styleId="91">
    <w:name w:val="Основной текст (9) + Не полужирный;Не курсив"/>
    <w:basedOn w:val="9"/>
    <w:rsid w:val="00B501EC"/>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437908">
      <w:bodyDiv w:val="1"/>
      <w:marLeft w:val="0"/>
      <w:marRight w:val="0"/>
      <w:marTop w:val="0"/>
      <w:marBottom w:val="0"/>
      <w:divBdr>
        <w:top w:val="none" w:sz="0" w:space="0" w:color="auto"/>
        <w:left w:val="none" w:sz="0" w:space="0" w:color="auto"/>
        <w:bottom w:val="none" w:sz="0" w:space="0" w:color="auto"/>
        <w:right w:val="none" w:sz="0" w:space="0" w:color="auto"/>
      </w:divBdr>
    </w:div>
    <w:div w:id="181164958">
      <w:bodyDiv w:val="1"/>
      <w:marLeft w:val="0"/>
      <w:marRight w:val="0"/>
      <w:marTop w:val="0"/>
      <w:marBottom w:val="0"/>
      <w:divBdr>
        <w:top w:val="none" w:sz="0" w:space="0" w:color="auto"/>
        <w:left w:val="none" w:sz="0" w:space="0" w:color="auto"/>
        <w:bottom w:val="none" w:sz="0" w:space="0" w:color="auto"/>
        <w:right w:val="none" w:sz="0" w:space="0" w:color="auto"/>
      </w:divBdr>
    </w:div>
    <w:div w:id="893782889">
      <w:bodyDiv w:val="1"/>
      <w:marLeft w:val="0"/>
      <w:marRight w:val="0"/>
      <w:marTop w:val="0"/>
      <w:marBottom w:val="0"/>
      <w:divBdr>
        <w:top w:val="none" w:sz="0" w:space="0" w:color="auto"/>
        <w:left w:val="none" w:sz="0" w:space="0" w:color="auto"/>
        <w:bottom w:val="none" w:sz="0" w:space="0" w:color="auto"/>
        <w:right w:val="none" w:sz="0" w:space="0" w:color="auto"/>
      </w:divBdr>
    </w:div>
    <w:div w:id="1441954149">
      <w:bodyDiv w:val="1"/>
      <w:marLeft w:val="0"/>
      <w:marRight w:val="0"/>
      <w:marTop w:val="0"/>
      <w:marBottom w:val="0"/>
      <w:divBdr>
        <w:top w:val="none" w:sz="0" w:space="0" w:color="auto"/>
        <w:left w:val="none" w:sz="0" w:space="0" w:color="auto"/>
        <w:bottom w:val="none" w:sz="0" w:space="0" w:color="auto"/>
        <w:right w:val="none" w:sz="0" w:space="0" w:color="auto"/>
      </w:divBdr>
    </w:div>
    <w:div w:id="198916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A8CC81-4BAD-4E44-A254-74AF7569BA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3126</Words>
  <Characters>17820</Characters>
  <Application>Microsoft Office Word</Application>
  <DocSecurity>0</DocSecurity>
  <Lines>148</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Central Bank of Russian Federation</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LECAP-Dmitry Lisov</dc:creator>
  <cp:lastModifiedBy>Родичева Дарья Алексеевна (drodicheva)</cp:lastModifiedBy>
  <cp:revision>2</cp:revision>
  <cp:lastPrinted>2019-11-29T13:42:00Z</cp:lastPrinted>
  <dcterms:created xsi:type="dcterms:W3CDTF">2020-06-22T14:00:00Z</dcterms:created>
  <dcterms:modified xsi:type="dcterms:W3CDTF">2020-06-22T14:00:00Z</dcterms:modified>
</cp:coreProperties>
</file>