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5857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4339C" w:rsidRPr="00FC2AE6" w14:paraId="3F5B7AC4" w14:textId="3705B506" w:rsidTr="00F4339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BB55A" w14:textId="15ECD068" w:rsidR="00F4339C" w:rsidRPr="00AD2750" w:rsidRDefault="00214565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5EAC724" w:rsidR="00F4339C" w:rsidRPr="00C454FF" w:rsidRDefault="00DC1291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F4339C" w:rsidRPr="00FC2AE6" w:rsidRDefault="00F4339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F4339C" w:rsidRPr="00FC2AE6" w:rsidRDefault="00F433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6FC7D8B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214565" w:rsidRPr="0021456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C1291" w:rsidRPr="00DC1291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656EC" w:rsidRPr="00F656E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F656E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F656EC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F656EC" w:rsidRPr="00F656EC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F656EC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1820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-й (</w:t>
      </w:r>
      <w:r w:rsidR="001802AF" w:rsidRPr="001802AF">
        <w:rPr>
          <w:rFonts w:ascii="Times New Roman" w:hAnsi="Times New Roman"/>
          <w:b/>
          <w:bCs/>
          <w:i/>
          <w:iCs/>
          <w:sz w:val="24"/>
          <w:szCs w:val="24"/>
        </w:rPr>
        <w:t>Одна т</w:t>
      </w:r>
      <w:r w:rsidR="009D0767" w:rsidRPr="00FC2AE6">
        <w:rPr>
          <w:rFonts w:ascii="Times New Roman" w:hAnsi="Times New Roman"/>
          <w:b/>
          <w:bCs/>
          <w:i/>
          <w:iCs/>
          <w:sz w:val="24"/>
          <w:szCs w:val="24"/>
        </w:rPr>
        <w:t>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6E6E92D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</w:t>
      </w:r>
      <w:r w:rsidR="00951681" w:rsidRPr="00951681">
        <w:rPr>
          <w:rFonts w:ascii="Times New Roman" w:hAnsi="Times New Roman"/>
          <w:b/>
          <w:bCs/>
          <w:i/>
          <w:iCs/>
          <w:color w:val="000000"/>
        </w:rPr>
        <w:t xml:space="preserve">дисконтные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214565" w:rsidRPr="00214565">
        <w:rPr>
          <w:rFonts w:ascii="Times New Roman" w:hAnsi="Times New Roman"/>
          <w:b/>
          <w:bCs/>
          <w:i/>
          <w:iCs/>
          <w:color w:val="000000"/>
        </w:rPr>
        <w:t>8</w:t>
      </w:r>
      <w:r w:rsidR="00DC1291" w:rsidRPr="00DC1291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EFB7DD9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214565" w:rsidRPr="00214565">
        <w:rPr>
          <w:b/>
          <w:i/>
          <w:sz w:val="22"/>
          <w:szCs w:val="22"/>
        </w:rPr>
        <w:t>8</w:t>
      </w:r>
      <w:r w:rsidR="00DC1291" w:rsidRPr="00DC1291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FB0620" w:rsidRPr="00FB0620">
        <w:rPr>
          <w:b/>
          <w:i/>
          <w:sz w:val="22"/>
          <w:szCs w:val="22"/>
        </w:rPr>
        <w:t>25</w:t>
      </w:r>
      <w:r w:rsidRPr="00A83C52">
        <w:rPr>
          <w:b/>
          <w:i/>
          <w:sz w:val="22"/>
          <w:szCs w:val="22"/>
        </w:rPr>
        <w:t>.0</w:t>
      </w:r>
      <w:r w:rsidR="00214565" w:rsidRPr="00214565">
        <w:rPr>
          <w:b/>
          <w:i/>
          <w:sz w:val="22"/>
          <w:szCs w:val="22"/>
        </w:rPr>
        <w:t>6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7AD8F52E" w:rsidR="00610E7E" w:rsidRPr="00FC2AE6" w:rsidRDefault="00F656EC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90557C">
        <w:rPr>
          <w:b/>
          <w:bCs/>
          <w:i/>
          <w:iCs/>
          <w:sz w:val="22"/>
          <w:szCs w:val="22"/>
        </w:rPr>
        <w:t>5</w:t>
      </w:r>
      <w:r w:rsidR="0008729C" w:rsidRPr="00F656EC">
        <w:rPr>
          <w:b/>
          <w:bCs/>
          <w:i/>
          <w:iCs/>
          <w:sz w:val="22"/>
          <w:szCs w:val="22"/>
        </w:rPr>
        <w:t>0</w:t>
      </w:r>
      <w:r w:rsidR="00180B91" w:rsidRPr="00F656EC">
        <w:rPr>
          <w:b/>
          <w:bCs/>
          <w:i/>
          <w:iCs/>
          <w:sz w:val="22"/>
          <w:szCs w:val="22"/>
        </w:rPr>
        <w:t>0 000 (</w:t>
      </w:r>
      <w:r w:rsidRPr="0090557C">
        <w:rPr>
          <w:b/>
          <w:bCs/>
          <w:i/>
          <w:iCs/>
          <w:sz w:val="22"/>
          <w:szCs w:val="22"/>
        </w:rPr>
        <w:t>Пятьсот</w:t>
      </w:r>
      <w:r w:rsidR="00F2195C" w:rsidRPr="00F656EC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F4DA73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FB0620" w:rsidRPr="00FB0620">
        <w:rPr>
          <w:b/>
          <w:bCs/>
          <w:i/>
          <w:iCs/>
          <w:color w:val="000000" w:themeColor="text1"/>
          <w:sz w:val="22"/>
          <w:szCs w:val="22"/>
        </w:rPr>
        <w:t>14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3A7BC9" w:rsidRPr="003A7BC9">
        <w:rPr>
          <w:b/>
          <w:bCs/>
          <w:i/>
          <w:iCs/>
          <w:color w:val="000000" w:themeColor="text1"/>
          <w:sz w:val="22"/>
          <w:szCs w:val="22"/>
        </w:rPr>
        <w:t>7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3343AA0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999,90 (Девятьсот девяносто девять рублей девяносто копеек) за одну Биржевую облигацию, что соответствует 99,99 (Девяносто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целы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 и девяносто девят</w:t>
      </w:r>
      <w:r w:rsidR="003A7BC9" w:rsidRPr="003A7BC9">
        <w:rPr>
          <w:b/>
          <w:bCs/>
          <w:i/>
          <w:iCs/>
          <w:sz w:val="22"/>
          <w:szCs w:val="22"/>
        </w:rPr>
        <w:t>и</w:t>
      </w:r>
      <w:r w:rsidR="00B37AC5" w:rsidRPr="00B37AC5">
        <w:rPr>
          <w:b/>
          <w:bCs/>
          <w:i/>
          <w:iCs/>
          <w:sz w:val="22"/>
          <w:szCs w:val="22"/>
        </w:rPr>
        <w:t xml:space="preserve"> соты</w:t>
      </w:r>
      <w:r w:rsidR="003A7BC9" w:rsidRPr="003A7BC9">
        <w:rPr>
          <w:b/>
          <w:bCs/>
          <w:i/>
          <w:iCs/>
          <w:sz w:val="22"/>
          <w:szCs w:val="22"/>
        </w:rPr>
        <w:t>м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78C9E012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  <w:r w:rsidR="00716CE9" w:rsidRPr="00FC2AE6">
        <w:rPr>
          <w:b/>
          <w:bCs/>
          <w:i/>
          <w:iCs/>
          <w:color w:val="auto"/>
          <w:sz w:val="22"/>
          <w:szCs w:val="22"/>
        </w:rPr>
        <w:t>Биржевые облигации оплачиваются денежными средствами в безналичном порядке в рублях Российской Федерации в соответствии с правилами клиринга Клиринговой организации.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 xml:space="preserve">В соответствии с Федеральным законом </w:t>
      </w:r>
      <w:r w:rsidR="00046AA6" w:rsidRPr="00FC2AE6">
        <w:rPr>
          <w:b/>
          <w:i/>
          <w:sz w:val="22"/>
          <w:szCs w:val="22"/>
        </w:rPr>
        <w:lastRenderedPageBreak/>
        <w:t>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73F0D969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):</w:t>
      </w:r>
    </w:p>
    <w:p w14:paraId="79D19757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меньше величины Барьер(j)  хотя бы для одного Референсного актива i, Ставка дополнительного дохода равна 0 (Нулю);</w:t>
      </w:r>
    </w:p>
    <w:p w14:paraId="78A7CABB" w14:textId="77777777" w:rsidR="00DC1291" w:rsidRPr="00DC1291" w:rsidRDefault="00DC1291" w:rsidP="00DC1291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360"/>
        <w:contextualSpacing/>
        <w:jc w:val="both"/>
        <w:rPr>
          <w:rFonts w:ascii="Times New Roman" w:hAnsi="Times New Roman"/>
          <w:bCs/>
          <w:i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 xml:space="preserve">В случае если величина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(j) / 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Cs/>
          <w:i/>
          <w:iCs/>
          <w:szCs w:val="20"/>
        </w:rPr>
        <w:t>(0) больше или равна величине Барьер(j) для каждого Референсного актива i, Ставка дополнительного дохода определяется по формуле ниже.</w:t>
      </w:r>
    </w:p>
    <w:p w14:paraId="581957F3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Times New Roman" w:hAnsi="Times New Roman"/>
          <w:bCs/>
          <w:i/>
          <w:iCs/>
          <w:szCs w:val="20"/>
        </w:rPr>
      </w:pPr>
    </w:p>
    <w:p w14:paraId="5F4FF465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Ставка дополнительного дохода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=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n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* 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R</w:t>
      </w:r>
      <w:r w:rsidRPr="00DC1291">
        <w:rPr>
          <w:rFonts w:ascii="Times New Roman" w:hAnsi="Times New Roman"/>
          <w:b/>
          <w:bCs/>
          <w:i/>
          <w:iCs/>
          <w:szCs w:val="20"/>
        </w:rPr>
        <w:t xml:space="preserve"> / 2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, </w:t>
      </w:r>
      <w:r w:rsidRPr="00DC1291">
        <w:rPr>
          <w:rFonts w:ascii="Times New Roman" w:hAnsi="Times New Roman"/>
          <w:color w:val="000000"/>
          <w:szCs w:val="20"/>
        </w:rPr>
        <w:t>где:</w:t>
      </w:r>
    </w:p>
    <w:p w14:paraId="195FAED8" w14:textId="77777777" w:rsidR="00DC1291" w:rsidRPr="00DC1291" w:rsidRDefault="00DC1291" w:rsidP="00DC1291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R</w:t>
      </w:r>
      <w:r w:rsidRPr="00DC1291">
        <w:rPr>
          <w:rFonts w:ascii="Times New Roman" w:hAnsi="Times New Roman"/>
          <w:szCs w:val="20"/>
        </w:rPr>
        <w:t xml:space="preserve"> –</w:t>
      </w:r>
      <w:r w:rsidRPr="00DC1291">
        <w:rPr>
          <w:rFonts w:ascii="Times New Roman" w:hAnsi="Times New Roman"/>
          <w:b/>
          <w:i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>величина</w:t>
      </w:r>
      <w:r w:rsidRPr="00DC1291">
        <w:rPr>
          <w:rFonts w:ascii="Times New Roman" w:hAnsi="Times New Roman"/>
          <w:b/>
          <w:i/>
          <w:szCs w:val="20"/>
        </w:rPr>
        <w:t xml:space="preserve"> Параметра</w:t>
      </w:r>
      <w:r w:rsidRPr="00DC1291">
        <w:rPr>
          <w:rFonts w:ascii="Times New Roman" w:hAnsi="Times New Roman"/>
          <w:szCs w:val="20"/>
        </w:rPr>
        <w:t xml:space="preserve">, в процентах. Определяется </w:t>
      </w:r>
      <w:r w:rsidRPr="00DC1291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Предварительный договор, который проводится в соответствии с пунктом 4.2 настоящего документа. Информация о величине </w:t>
      </w:r>
      <w:r w:rsidRPr="00DC1291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DC1291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6C35A61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n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szCs w:val="20"/>
        </w:rPr>
        <w:t xml:space="preserve">величина, равная разнице между соответствующим номером Даты выплаты дополнительного дохода </w:t>
      </w:r>
      <w:r w:rsidRPr="00DC1291">
        <w:rPr>
          <w:rFonts w:ascii="Times New Roman" w:hAnsi="Times New Roman"/>
          <w:i/>
          <w:szCs w:val="20"/>
          <w:lang w:val="en-US"/>
        </w:rPr>
        <w:t>j</w:t>
      </w:r>
      <w:r w:rsidRPr="00DC1291">
        <w:rPr>
          <w:rFonts w:ascii="Times New Roman" w:hAnsi="Times New Roman"/>
          <w:szCs w:val="20"/>
        </w:rPr>
        <w:t xml:space="preserve"> и номером последней Даты выплаты дополнительного дохода, в которую сумма Дополнительного дохода превышала 0. Для первой Даты выплаты дополнительного дохода величина </w:t>
      </w:r>
      <w:r w:rsidRPr="00DC1291">
        <w:rPr>
          <w:rFonts w:ascii="Times New Roman" w:hAnsi="Times New Roman"/>
          <w:szCs w:val="20"/>
          <w:lang w:val="en-US"/>
        </w:rPr>
        <w:t>n</w:t>
      </w:r>
      <w:r w:rsidRPr="00DC1291">
        <w:rPr>
          <w:rFonts w:ascii="Times New Roman" w:hAnsi="Times New Roman"/>
          <w:szCs w:val="20"/>
        </w:rPr>
        <w:t xml:space="preserve"> принимается равной 1;</w:t>
      </w:r>
    </w:p>
    <w:p w14:paraId="0F6F00C6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j</w:t>
      </w:r>
      <w:r w:rsidRPr="00DC1291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DC1291">
        <w:rPr>
          <w:rFonts w:ascii="Times New Roman" w:hAnsi="Times New Roman"/>
          <w:b/>
          <w:i/>
          <w:szCs w:val="20"/>
        </w:rPr>
        <w:t>j</w:t>
      </w:r>
      <w:r w:rsidRPr="00DC1291">
        <w:rPr>
          <w:rFonts w:ascii="Times New Roman" w:hAnsi="Times New Roman"/>
          <w:b/>
          <w:szCs w:val="20"/>
        </w:rPr>
        <w:t xml:space="preserve"> </w:t>
      </w:r>
      <w:r w:rsidRPr="00DC1291">
        <w:rPr>
          <w:rFonts w:ascii="Times New Roman" w:hAnsi="Times New Roman"/>
          <w:szCs w:val="20"/>
        </w:rPr>
        <w:t xml:space="preserve">= 1, 2, 3, 4, 5, 6); </w:t>
      </w:r>
    </w:p>
    <w:p w14:paraId="307D74FC" w14:textId="77777777" w:rsidR="00DC1291" w:rsidRPr="00DC1291" w:rsidRDefault="00DC1291" w:rsidP="00DC1291">
      <w:pPr>
        <w:autoSpaceDE w:val="0"/>
        <w:autoSpaceDN w:val="0"/>
        <w:spacing w:before="120" w:after="120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– порядковый номер Референсного актива (</w:t>
      </w:r>
      <w:r w:rsidRPr="00DC1291">
        <w:rPr>
          <w:rFonts w:ascii="Times New Roman" w:hAnsi="Times New Roman"/>
          <w:b/>
          <w:i/>
          <w:color w:val="000000"/>
          <w:szCs w:val="20"/>
          <w:lang w:val="en-US"/>
        </w:rPr>
        <w:t>i</w:t>
      </w:r>
      <w:r w:rsidRPr="00DC1291">
        <w:rPr>
          <w:rFonts w:ascii="Times New Roman" w:hAnsi="Times New Roman"/>
          <w:color w:val="000000"/>
          <w:szCs w:val="20"/>
        </w:rPr>
        <w:t xml:space="preserve">  = 1, 2, 3, 4);</w:t>
      </w:r>
    </w:p>
    <w:p w14:paraId="57FDC535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(0)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</w:t>
      </w:r>
      <w:r w:rsidRPr="00DC1291">
        <w:rPr>
          <w:rFonts w:ascii="Times New Roman" w:hAnsi="Times New Roman"/>
          <w:color w:val="000000"/>
          <w:szCs w:val="20"/>
        </w:rPr>
        <w:t>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>в Дату начала размещения Биржевых облигаций на соответствующей бирже Референсного актива в валюте Референсного актива;</w:t>
      </w:r>
    </w:p>
    <w:p w14:paraId="3D835E0B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S</w:t>
      </w:r>
      <w:r w:rsidRPr="00DC1291">
        <w:rPr>
          <w:rFonts w:ascii="Times New Roman" w:hAnsi="Times New Roman"/>
          <w:b/>
          <w:bCs/>
          <w:i/>
          <w:iCs/>
          <w:szCs w:val="20"/>
          <w:vertAlign w:val="subscript"/>
          <w:lang w:val="en-US"/>
        </w:rPr>
        <w:t>i</w:t>
      </w:r>
      <w:r w:rsidRPr="00DC1291">
        <w:rPr>
          <w:rFonts w:ascii="Times New Roman" w:hAnsi="Times New Roman"/>
          <w:b/>
          <w:bCs/>
          <w:i/>
          <w:iCs/>
          <w:szCs w:val="20"/>
        </w:rPr>
        <w:t>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цена закрытия Референсного актива (</w:t>
      </w:r>
      <w:r w:rsidRPr="00DC1291">
        <w:rPr>
          <w:rFonts w:ascii="Times New Roman" w:hAnsi="Times New Roman"/>
          <w:i/>
          <w:color w:val="000000"/>
          <w:szCs w:val="20"/>
        </w:rPr>
        <w:t xml:space="preserve">i) </w:t>
      </w:r>
      <w:r w:rsidRPr="00DC1291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DC1291">
        <w:rPr>
          <w:rFonts w:ascii="Times New Roman" w:hAnsi="Times New Roman"/>
          <w:i/>
          <w:color w:val="000000"/>
          <w:szCs w:val="20"/>
        </w:rPr>
        <w:t>(</w:t>
      </w:r>
      <w:r w:rsidRPr="00DC1291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DC1291">
        <w:rPr>
          <w:rFonts w:ascii="Times New Roman" w:hAnsi="Times New Roman"/>
          <w:i/>
          <w:color w:val="000000"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на соответствующей бирже Референсного актива в валюте Референсного актива. </w:t>
      </w:r>
    </w:p>
    <w:p w14:paraId="73BB9306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Барьер(</w:t>
      </w:r>
      <w:r w:rsidRPr="00DC1291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/>
          <w:bCs/>
          <w:i/>
          <w:iCs/>
          <w:szCs w:val="20"/>
        </w:rPr>
        <w:t>)</w:t>
      </w:r>
      <w:r w:rsidRPr="00DC1291">
        <w:rPr>
          <w:rFonts w:ascii="Times New Roman" w:hAnsi="Times New Roman"/>
          <w:color w:val="000000"/>
          <w:szCs w:val="20"/>
        </w:rPr>
        <w:t xml:space="preserve"> – </w:t>
      </w:r>
      <w:r w:rsidRPr="00DC1291">
        <w:rPr>
          <w:rFonts w:ascii="Times New Roman" w:hAnsi="Times New Roman"/>
          <w:bCs/>
          <w:iCs/>
          <w:szCs w:val="20"/>
        </w:rPr>
        <w:t>величина барьера, которая принимает следующие значения для соответствующей</w:t>
      </w:r>
      <w:r w:rsidRPr="00DC1291">
        <w:rPr>
          <w:rFonts w:ascii="Times New Roman" w:hAnsi="Times New Roman"/>
          <w:bCs/>
          <w:i/>
          <w:iCs/>
          <w:szCs w:val="20"/>
        </w:rPr>
        <w:t xml:space="preserve"> Даты определения дополнительного дохода (</w:t>
      </w:r>
      <w:r w:rsidRPr="00DC1291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DC1291">
        <w:rPr>
          <w:rFonts w:ascii="Times New Roman" w:hAnsi="Times New Roman"/>
          <w:bCs/>
          <w:i/>
          <w:iCs/>
          <w:szCs w:val="20"/>
        </w:rPr>
        <w:t>)</w:t>
      </w:r>
      <w:r w:rsidRPr="00DC1291">
        <w:rPr>
          <w:rFonts w:ascii="Times New Roman" w:hAnsi="Times New Roman"/>
          <w:bCs/>
          <w:iCs/>
          <w:szCs w:val="20"/>
        </w:rPr>
        <w:t>:</w:t>
      </w:r>
    </w:p>
    <w:tbl>
      <w:tblPr>
        <w:tblStyle w:val="af3"/>
        <w:tblW w:w="0" w:type="auto"/>
        <w:tblInd w:w="1555" w:type="dxa"/>
        <w:tblLook w:val="04A0" w:firstRow="1" w:lastRow="0" w:firstColumn="1" w:lastColumn="0" w:noHBand="0" w:noVBand="1"/>
      </w:tblPr>
      <w:tblGrid>
        <w:gridCol w:w="4110"/>
        <w:gridCol w:w="2977"/>
      </w:tblGrid>
      <w:tr w:rsidR="00DC1291" w:rsidRPr="00DC1291" w14:paraId="2DF8E5D5" w14:textId="77777777" w:rsidTr="00E35C09">
        <w:trPr>
          <w:trHeight w:val="716"/>
        </w:trPr>
        <w:tc>
          <w:tcPr>
            <w:tcW w:w="4110" w:type="dxa"/>
          </w:tcPr>
          <w:p w14:paraId="7E0454DF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Номер 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Даты определения дополнительного дохода (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Cs/>
                <w:i/>
                <w:iCs/>
                <w:szCs w:val="20"/>
              </w:rPr>
              <w:t>)</w:t>
            </w:r>
          </w:p>
        </w:tc>
        <w:tc>
          <w:tcPr>
            <w:tcW w:w="2977" w:type="dxa"/>
          </w:tcPr>
          <w:p w14:paraId="0738ED6B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 xml:space="preserve">Значение 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Барьера(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  <w:lang w:val="en-US"/>
              </w:rPr>
              <w:t>j</w:t>
            </w:r>
            <w:r w:rsidRPr="00DC1291">
              <w:rPr>
                <w:rFonts w:ascii="Times New Roman" w:hAnsi="Times New Roman"/>
                <w:b/>
                <w:bCs/>
                <w:i/>
                <w:iCs/>
                <w:szCs w:val="20"/>
              </w:rPr>
              <w:t>)</w:t>
            </w:r>
          </w:p>
        </w:tc>
      </w:tr>
      <w:tr w:rsidR="00DC1291" w:rsidRPr="00DC1291" w14:paraId="7CA6DAF2" w14:textId="77777777" w:rsidTr="00E35C09">
        <w:trPr>
          <w:trHeight w:val="459"/>
        </w:trPr>
        <w:tc>
          <w:tcPr>
            <w:tcW w:w="4110" w:type="dxa"/>
          </w:tcPr>
          <w:p w14:paraId="4095EC8D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1, 2, 3, 4, 5, 6</w:t>
            </w:r>
          </w:p>
        </w:tc>
        <w:tc>
          <w:tcPr>
            <w:tcW w:w="2977" w:type="dxa"/>
          </w:tcPr>
          <w:p w14:paraId="52A0C4B3" w14:textId="77777777" w:rsidR="00DC1291" w:rsidRPr="00DC1291" w:rsidRDefault="00DC1291" w:rsidP="00E35C09">
            <w:pPr>
              <w:keepNext/>
              <w:autoSpaceDE w:val="0"/>
              <w:autoSpaceDN w:val="0"/>
              <w:spacing w:before="120" w:after="120"/>
              <w:ind w:right="142"/>
              <w:jc w:val="center"/>
              <w:rPr>
                <w:rFonts w:ascii="Times New Roman" w:hAnsi="Times New Roman"/>
                <w:bCs/>
                <w:iCs/>
                <w:szCs w:val="20"/>
              </w:rPr>
            </w:pPr>
            <w:r w:rsidRPr="00DC1291">
              <w:rPr>
                <w:rFonts w:ascii="Times New Roman" w:hAnsi="Times New Roman"/>
                <w:bCs/>
                <w:iCs/>
                <w:szCs w:val="20"/>
              </w:rPr>
              <w:t>9</w:t>
            </w:r>
            <w:r w:rsidRPr="00DC1291">
              <w:rPr>
                <w:rFonts w:ascii="Times New Roman" w:hAnsi="Times New Roman"/>
                <w:bCs/>
                <w:iCs/>
                <w:szCs w:val="20"/>
                <w:lang w:val="en-US"/>
              </w:rPr>
              <w:t>5</w:t>
            </w:r>
            <w:r w:rsidRPr="00DC1291">
              <w:rPr>
                <w:rFonts w:ascii="Times New Roman" w:hAnsi="Times New Roman"/>
                <w:bCs/>
                <w:iCs/>
                <w:szCs w:val="20"/>
              </w:rPr>
              <w:t>%</w:t>
            </w:r>
          </w:p>
        </w:tc>
      </w:tr>
    </w:tbl>
    <w:p w14:paraId="282A608A" w14:textId="77777777" w:rsidR="00DC1291" w:rsidRPr="00DC1291" w:rsidRDefault="00DC1291" w:rsidP="00DC1291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Cs/>
          <w:iCs/>
          <w:szCs w:val="20"/>
        </w:rPr>
        <w:t xml:space="preserve"> </w:t>
      </w:r>
    </w:p>
    <w:p w14:paraId="7CC653E3" w14:textId="77777777" w:rsidR="00DC1291" w:rsidRPr="00DC1291" w:rsidRDefault="00DC1291" w:rsidP="00DC1291">
      <w:pPr>
        <w:spacing w:before="120" w:after="120"/>
        <w:jc w:val="both"/>
        <w:rPr>
          <w:rFonts w:ascii="Times New Roman" w:hAnsi="Times New Roman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DC1291">
        <w:rPr>
          <w:rFonts w:ascii="Times New Roman" w:hAnsi="Times New Roman"/>
          <w:szCs w:val="20"/>
        </w:rPr>
        <w:t xml:space="preserve"> – каждый день, в который осуществляются торги со всеми Референсными активами на соответствующих Биржах Референсных активов.</w:t>
      </w:r>
    </w:p>
    <w:p w14:paraId="466F29AE" w14:textId="073299EB" w:rsidR="00DC1291" w:rsidRPr="00DC1291" w:rsidRDefault="00DC1291" w:rsidP="00DC1291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DC1291">
        <w:rPr>
          <w:rFonts w:ascii="Times New Roman" w:hAnsi="Times New Roman"/>
          <w:bCs/>
          <w:iCs/>
          <w:szCs w:val="20"/>
        </w:rPr>
        <w:t xml:space="preserve"> </w:t>
      </w:r>
      <w:r w:rsidRPr="00DC1291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DC1291">
        <w:rPr>
          <w:rFonts w:ascii="Times New Roman" w:hAnsi="Times New Roman"/>
          <w:color w:val="000000"/>
          <w:szCs w:val="20"/>
        </w:rPr>
        <w:t xml:space="preserve"> – 2</w:t>
      </w:r>
      <w:r w:rsidRPr="00DC1291">
        <w:rPr>
          <w:rFonts w:ascii="Times New Roman" w:hAnsi="Times New Roman"/>
          <w:bCs/>
          <w:iCs/>
          <w:szCs w:val="20"/>
        </w:rPr>
        <w:t xml:space="preserve">-ой (второй) торговый день, предшествующий Дате выплаты дополнительного дохода. </w:t>
      </w:r>
      <w:r w:rsidRPr="00DC1291">
        <w:rPr>
          <w:rFonts w:ascii="Times New Roman" w:hAnsi="Times New Roman"/>
          <w:color w:val="000000"/>
          <w:szCs w:val="20"/>
        </w:rPr>
        <w:t xml:space="preserve">Если цены Референсных активов не могут быть определены в Дату определения дополнительного дохода, то последовательно перебираются 4-ый, 5-ый и так далее предшествующие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нулю. </w:t>
      </w:r>
    </w:p>
    <w:p w14:paraId="319ED520" w14:textId="77777777" w:rsidR="00DC1291" w:rsidRPr="00DC1291" w:rsidRDefault="00DC1291" w:rsidP="00DC1291">
      <w:pPr>
        <w:autoSpaceDE w:val="0"/>
        <w:autoSpaceDN w:val="0"/>
        <w:spacing w:after="120"/>
        <w:ind w:hanging="1"/>
        <w:jc w:val="both"/>
        <w:rPr>
          <w:rFonts w:ascii="Times New Roman" w:hAnsi="Times New Roman"/>
          <w:color w:val="000000"/>
          <w:szCs w:val="20"/>
        </w:rPr>
      </w:pPr>
      <w:r w:rsidRPr="00DC1291">
        <w:rPr>
          <w:rFonts w:ascii="Times New Roman" w:hAnsi="Times New Roman"/>
          <w:b/>
          <w:i/>
          <w:color w:val="000000"/>
          <w:szCs w:val="20"/>
        </w:rPr>
        <w:lastRenderedPageBreak/>
        <w:t>Референсные активы</w:t>
      </w:r>
      <w:r w:rsidRPr="00DC1291">
        <w:rPr>
          <w:rFonts w:ascii="Times New Roman" w:hAnsi="Times New Roman"/>
          <w:color w:val="000000"/>
          <w:szCs w:val="20"/>
        </w:rPr>
        <w:t>: по одной обыкновенной акции следующих эмитентов со следующими характеристиками:</w:t>
      </w:r>
    </w:p>
    <w:tbl>
      <w:tblPr>
        <w:tblW w:w="993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1417"/>
        <w:gridCol w:w="284"/>
        <w:gridCol w:w="1701"/>
        <w:gridCol w:w="283"/>
        <w:gridCol w:w="5954"/>
      </w:tblGrid>
      <w:tr w:rsidR="00DC1291" w:rsidRPr="00DC1291" w14:paraId="0FCC1D53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2E918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i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i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5079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Наименование эмитента Референсного актива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156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3847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Тикер Bloomberg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CAE3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3E1D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Биржа Референсного актива</w:t>
            </w:r>
          </w:p>
        </w:tc>
      </w:tr>
      <w:tr w:rsidR="00DC1291" w:rsidRPr="00DC1291" w14:paraId="779162D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DA45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5C83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B0A6C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B9C3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ISIN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55A32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1FF7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Источник цены (ссылка)</w:t>
            </w:r>
          </w:p>
        </w:tc>
      </w:tr>
      <w:tr w:rsidR="00DC1291" w:rsidRPr="00DC1291" w14:paraId="4D26EA5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90B2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8A3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B6E6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6BE1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Валюта актива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6F79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5D63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Тип значения на странице по ссылке</w:t>
            </w:r>
          </w:p>
        </w:tc>
      </w:tr>
      <w:tr w:rsidR="00DC1291" w:rsidRPr="00DC1291" w14:paraId="76BC7C51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8F8216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76A68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Facebook,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9CB6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346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FB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FB17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8644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3D861C86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1EE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020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691A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F148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US30303M1027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35CD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E00EC" w14:textId="77777777" w:rsidR="00DC1291" w:rsidRPr="00DC1291" w:rsidRDefault="00AD6AD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8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https://www.nasdaq.com/market-activity/stocks/fb/historical</w:t>
              </w:r>
            </w:hyperlink>
          </w:p>
        </w:tc>
      </w:tr>
      <w:tr w:rsidR="00DC1291" w:rsidRPr="00DC1291" w14:paraId="4C7E4039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122C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F63C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3104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41E8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2302D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1EDD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0FEE376C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72B2D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467D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Amazon.com,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01BE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BA91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AMZN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1A879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905B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00059E78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E534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5D3D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D5BD6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9146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US0231351067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1AB2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0123" w14:textId="77777777" w:rsidR="00DC1291" w:rsidRPr="00DC1291" w:rsidRDefault="00AD6AD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9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https://www.nasdaq.com/market-activity/stocks/amzn/historical</w:t>
              </w:r>
            </w:hyperlink>
          </w:p>
        </w:tc>
      </w:tr>
      <w:tr w:rsidR="00DC1291" w:rsidRPr="00DC1291" w14:paraId="64C8001E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D13B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A678B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2FDC4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DF981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9B7A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69FA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0126C824" w14:textId="77777777" w:rsidTr="001A5C4A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9640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03731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Apple,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21EE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958E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AAPL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4FBA5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6E5B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570B7687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8C4E6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91C2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29B7D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3E65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US0378331005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8B94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99810" w14:textId="77777777" w:rsidR="00DC1291" w:rsidRPr="00DC1291" w:rsidRDefault="00AD6AD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10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https://www.nasdaq.com/market-activity/stocks/aapl/historical</w:t>
              </w:r>
            </w:hyperlink>
          </w:p>
        </w:tc>
      </w:tr>
      <w:tr w:rsidR="00DC1291" w:rsidRPr="00DC1291" w14:paraId="34626542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EF54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A495A3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56D2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89080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C7303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5253E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  <w:tr w:rsidR="00DC1291" w:rsidRPr="00DC1291" w14:paraId="684E8F67" w14:textId="77777777" w:rsidTr="001A5C4A">
        <w:trPr>
          <w:trHeight w:val="51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3757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  <w:lang w:val="en-US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EEE16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Netflix, Inc.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0AC3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a.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C8FBC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NFLX U</w:t>
            </w:r>
            <w:r w:rsidRPr="00DC1291">
              <w:rPr>
                <w:rFonts w:ascii="Times New Roman" w:hAnsi="Times New Roman"/>
                <w:color w:val="000000"/>
                <w:szCs w:val="20"/>
                <w:lang w:val="en-US"/>
              </w:rPr>
              <w:t>Q</w:t>
            </w: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 Equity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2BE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1.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64B2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Служба автоматизированных котировок Национальной ассоциации дилеров по ценным бумагам (NASDAQ)</w:t>
            </w:r>
          </w:p>
        </w:tc>
      </w:tr>
      <w:tr w:rsidR="00DC1291" w:rsidRPr="00DC1291" w14:paraId="1B3B482B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05A15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8E2D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7372E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b.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ACA99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US64110L1061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2E370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2.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C3ADF" w14:textId="77777777" w:rsidR="00DC1291" w:rsidRPr="00DC1291" w:rsidRDefault="00AD6ADE" w:rsidP="00E35C09">
            <w:pPr>
              <w:rPr>
                <w:rFonts w:ascii="Times New Roman" w:hAnsi="Times New Roman"/>
                <w:color w:val="0563C1"/>
                <w:szCs w:val="20"/>
                <w:u w:val="single"/>
              </w:rPr>
            </w:pPr>
            <w:hyperlink r:id="rId11" w:history="1">
              <w:r w:rsidR="00DC1291" w:rsidRPr="00DC1291">
                <w:rPr>
                  <w:rStyle w:val="a6"/>
                  <w:rFonts w:ascii="Times New Roman" w:hAnsi="Times New Roman"/>
                  <w:szCs w:val="20"/>
                </w:rPr>
                <w:t>https://www.nasdaq.com/market-activity/stocks/nflx/historical</w:t>
              </w:r>
            </w:hyperlink>
          </w:p>
        </w:tc>
      </w:tr>
      <w:tr w:rsidR="00DC1291" w:rsidRPr="00DC1291" w14:paraId="4652FA93" w14:textId="77777777" w:rsidTr="001A5C4A">
        <w:trPr>
          <w:trHeight w:val="300"/>
        </w:trPr>
        <w:tc>
          <w:tcPr>
            <w:tcW w:w="2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4C5437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9D78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0D61F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c.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0859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Доллары США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43B2B" w14:textId="77777777" w:rsidR="00DC1291" w:rsidRPr="00DC1291" w:rsidRDefault="00DC1291" w:rsidP="00E35C09">
            <w:pPr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 xml:space="preserve">3.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E90BA" w14:textId="77777777" w:rsidR="00DC1291" w:rsidRPr="00DC1291" w:rsidRDefault="00DC1291" w:rsidP="00E35C09">
            <w:pPr>
              <w:rPr>
                <w:rFonts w:ascii="Times New Roman" w:hAnsi="Times New Roman"/>
                <w:color w:val="000000"/>
                <w:szCs w:val="20"/>
              </w:rPr>
            </w:pPr>
            <w:r w:rsidRPr="00DC1291">
              <w:rPr>
                <w:rFonts w:ascii="Times New Roman" w:hAnsi="Times New Roman"/>
                <w:color w:val="000000"/>
                <w:szCs w:val="20"/>
              </w:rPr>
              <w:t>Значение Close/Last</w:t>
            </w:r>
          </w:p>
        </w:tc>
      </w:tr>
    </w:tbl>
    <w:p w14:paraId="22DA8EF7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  <w:lang w:val="en-US"/>
        </w:rPr>
      </w:pPr>
    </w:p>
    <w:p w14:paraId="35AB6A94" w14:textId="77777777" w:rsidR="00DC1291" w:rsidRPr="00DC1291" w:rsidRDefault="00DC1291" w:rsidP="00DC1291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DC1291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0C24893C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ДД (руб.)</w:t>
      </w:r>
      <w:r w:rsidRPr="00DC1291">
        <w:rPr>
          <w:rFonts w:ascii="Times New Roman" w:hAnsi="Times New Roman"/>
          <w:bCs/>
          <w:iCs/>
          <w:szCs w:val="20"/>
        </w:rPr>
        <w:t xml:space="preserve"> = </w:t>
      </w:r>
      <w:r w:rsidRPr="00DC1291">
        <w:rPr>
          <w:rFonts w:ascii="Times New Roman" w:hAnsi="Times New Roman"/>
          <w:bCs/>
          <w:i/>
          <w:iCs/>
          <w:szCs w:val="20"/>
        </w:rPr>
        <w:t>Nom ×</w:t>
      </w:r>
      <w:r w:rsidRPr="00DC1291">
        <w:rPr>
          <w:rFonts w:ascii="Times New Roman" w:hAnsi="Times New Roman"/>
          <w:i/>
          <w:szCs w:val="20"/>
        </w:rPr>
        <w:t xml:space="preserve"> </w:t>
      </w: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>, где</w:t>
      </w:r>
    </w:p>
    <w:p w14:paraId="70B171A0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Ставка дополнительного дохода(j)</w:t>
      </w:r>
      <w:r w:rsidRPr="00DC1291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260F51E" w14:textId="77777777" w:rsidR="00DC1291" w:rsidRPr="00DC1291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DC1291">
        <w:rPr>
          <w:rFonts w:ascii="Times New Roman" w:hAnsi="Times New Roman"/>
          <w:bCs/>
          <w:i/>
          <w:iCs/>
          <w:szCs w:val="20"/>
        </w:rPr>
        <w:t>Nom</w:t>
      </w:r>
      <w:r w:rsidRPr="00DC1291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3CA8729D" w:rsidR="00357B16" w:rsidRPr="00357B16" w:rsidRDefault="00DC1291" w:rsidP="00DC129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DC1291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629925FC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DC1291" w:rsidRPr="00DC1291">
        <w:rPr>
          <w:rFonts w:ascii="Times New Roman" w:hAnsi="Times New Roman"/>
          <w:b/>
          <w:bCs/>
          <w:i/>
          <w:iCs/>
        </w:rPr>
        <w:t>1092-ой (Одна тысяча девяносто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12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00AB9" w14:textId="77777777" w:rsidR="00AD6ADE" w:rsidRDefault="00AD6ADE" w:rsidP="0053664B">
      <w:pPr>
        <w:spacing w:after="0" w:line="240" w:lineRule="auto"/>
      </w:pPr>
      <w:r>
        <w:separator/>
      </w:r>
    </w:p>
  </w:endnote>
  <w:endnote w:type="continuationSeparator" w:id="0">
    <w:p w14:paraId="764B6289" w14:textId="77777777" w:rsidR="00AD6ADE" w:rsidRDefault="00AD6ADE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C68C135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90557C">
      <w:rPr>
        <w:noProof/>
      </w:rPr>
      <w:t>3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3436" w14:textId="77777777" w:rsidR="00AD6ADE" w:rsidRDefault="00AD6ADE" w:rsidP="0053664B">
      <w:pPr>
        <w:spacing w:after="0" w:line="240" w:lineRule="auto"/>
      </w:pPr>
      <w:r>
        <w:separator/>
      </w:r>
    </w:p>
  </w:footnote>
  <w:footnote w:type="continuationSeparator" w:id="0">
    <w:p w14:paraId="2D04BB10" w14:textId="77777777" w:rsidR="00AD6ADE" w:rsidRDefault="00AD6ADE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C4A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0557C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6ADE"/>
    <w:rsid w:val="00AD756C"/>
    <w:rsid w:val="00AE0BCD"/>
    <w:rsid w:val="00AE1E00"/>
    <w:rsid w:val="00AE439C"/>
    <w:rsid w:val="00AE7F99"/>
    <w:rsid w:val="00AF0448"/>
    <w:rsid w:val="00AF0B71"/>
    <w:rsid w:val="00AF1FAF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291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56EC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134CF74-DA80-4319-B442-D57217A9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fb/historica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asdaq.com/market-activity/stocks/nflx/historic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asdaq.com/market-activity/stocks/aapl/historic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sdaq.com/market-activity/stocks/amzn/historica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BB91-86A8-46BC-ACBF-819B491D3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5127</Words>
  <Characters>29228</Characters>
  <Application>Microsoft Office Word</Application>
  <DocSecurity>0</DocSecurity>
  <Lines>243</Lines>
  <Paragraphs>68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2020-07-10T15:50:00Z</dcterms:created>
  <dcterms:modified xsi:type="dcterms:W3CDTF">2020-07-10T15:50:00Z</dcterms:modified>
</cp:coreProperties>
</file>