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4568C" w:rsidRPr="00FC2AE6" w14:paraId="3F5B7AC4" w14:textId="3705B506" w:rsidTr="0074568C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74568C" w:rsidRPr="00FC2AE6" w:rsidRDefault="0074568C" w:rsidP="0074568C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153FD180" w:rsidR="0074568C" w:rsidRPr="0074568C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16C980" w14:textId="4C54CA2E" w:rsidR="0074568C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1E25282A" w:rsidR="0074568C" w:rsidRPr="00B748B2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74568C" w:rsidRPr="00FC2AE6" w:rsidRDefault="0074568C" w:rsidP="0074568C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7B65" w14:textId="28E7141E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D82F" w14:textId="4252E552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3D8E188A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74568C" w:rsidRPr="0074568C">
        <w:rPr>
          <w:rFonts w:ascii="Times New Roman" w:hAnsi="Times New Roman"/>
          <w:b/>
          <w:bCs/>
          <w:i/>
          <w:iCs/>
          <w:sz w:val="24"/>
          <w:szCs w:val="24"/>
        </w:rPr>
        <w:t>101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522E9E" w:rsidRPr="009632ED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08729C" w:rsidRPr="009632ED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9632ED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522E9E" w:rsidRPr="009632ED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5E3C39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1820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-й (</w:t>
      </w:r>
      <w:r w:rsidR="001802AF" w:rsidRPr="001802AF">
        <w:rPr>
          <w:rFonts w:ascii="Times New Roman" w:hAnsi="Times New Roman"/>
          <w:b/>
          <w:bCs/>
          <w:i/>
          <w:iCs/>
          <w:sz w:val="24"/>
          <w:szCs w:val="24"/>
        </w:rPr>
        <w:t>Одна т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663D97BF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74568C" w:rsidRPr="0074568C">
        <w:rPr>
          <w:rFonts w:ascii="Times New Roman" w:hAnsi="Times New Roman"/>
          <w:b/>
          <w:bCs/>
          <w:i/>
          <w:iCs/>
          <w:color w:val="000000"/>
        </w:rPr>
        <w:t>101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5F42BA53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74568C" w:rsidRPr="0074568C">
        <w:rPr>
          <w:b/>
          <w:i/>
          <w:sz w:val="22"/>
          <w:szCs w:val="22"/>
        </w:rPr>
        <w:t>101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74568C">
        <w:rPr>
          <w:b/>
          <w:i/>
          <w:sz w:val="22"/>
          <w:szCs w:val="22"/>
        </w:rPr>
        <w:t>2</w:t>
      </w:r>
      <w:r w:rsidR="0074568C" w:rsidRPr="0074568C">
        <w:rPr>
          <w:b/>
          <w:i/>
          <w:sz w:val="22"/>
          <w:szCs w:val="22"/>
        </w:rPr>
        <w:t>0</w:t>
      </w:r>
      <w:r w:rsidRPr="00A83C52">
        <w:rPr>
          <w:b/>
          <w:i/>
          <w:sz w:val="22"/>
          <w:szCs w:val="22"/>
        </w:rPr>
        <w:t>.0</w:t>
      </w:r>
      <w:r w:rsidR="0074568C" w:rsidRPr="0074568C">
        <w:rPr>
          <w:b/>
          <w:i/>
          <w:sz w:val="22"/>
          <w:szCs w:val="22"/>
        </w:rPr>
        <w:t>7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6FA71CE3" w:rsidR="00610E7E" w:rsidRPr="00FC2AE6" w:rsidRDefault="00522E9E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9632ED">
        <w:rPr>
          <w:b/>
          <w:bCs/>
          <w:i/>
          <w:iCs/>
          <w:sz w:val="22"/>
          <w:szCs w:val="22"/>
        </w:rPr>
        <w:t>2</w:t>
      </w:r>
      <w:r w:rsidR="0008729C" w:rsidRPr="009632ED">
        <w:rPr>
          <w:b/>
          <w:bCs/>
          <w:i/>
          <w:iCs/>
          <w:sz w:val="22"/>
          <w:szCs w:val="22"/>
        </w:rPr>
        <w:t>0</w:t>
      </w:r>
      <w:r w:rsidR="00180B91" w:rsidRPr="009632ED">
        <w:rPr>
          <w:b/>
          <w:bCs/>
          <w:i/>
          <w:iCs/>
          <w:sz w:val="22"/>
          <w:szCs w:val="22"/>
        </w:rPr>
        <w:t>0 000 (</w:t>
      </w:r>
      <w:r w:rsidRPr="009632ED">
        <w:rPr>
          <w:b/>
          <w:bCs/>
          <w:i/>
          <w:iCs/>
          <w:sz w:val="22"/>
          <w:szCs w:val="22"/>
        </w:rPr>
        <w:t>Двести</w:t>
      </w:r>
      <w:r w:rsidR="00F2195C" w:rsidRPr="005E3C39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614B95FF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466238" w:rsidRPr="00466238">
        <w:rPr>
          <w:b/>
          <w:bCs/>
          <w:i/>
          <w:iCs/>
          <w:color w:val="000000" w:themeColor="text1"/>
          <w:sz w:val="22"/>
          <w:szCs w:val="22"/>
        </w:rPr>
        <w:t>04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466238" w:rsidRPr="00466238">
        <w:rPr>
          <w:b/>
          <w:bCs/>
          <w:i/>
          <w:iCs/>
          <w:color w:val="000000" w:themeColor="text1"/>
          <w:sz w:val="22"/>
          <w:szCs w:val="22"/>
        </w:rPr>
        <w:t>8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18BEAF5F" w:rsidR="00A122EC" w:rsidRPr="00D05F71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68E2124F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3828A4">
        <w:rPr>
          <w:b/>
          <w:bCs/>
          <w:i/>
          <w:iCs/>
          <w:sz w:val="22"/>
          <w:szCs w:val="22"/>
        </w:rPr>
        <w:t>1000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3828A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3828A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3828A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3828A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3828A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044583505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BC634ED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3336AD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3336AD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73F0D969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</w:rPr>
        <w:t>):</w:t>
      </w:r>
    </w:p>
    <w:p w14:paraId="79D19757" w14:textId="77777777" w:rsidR="00DC1291" w:rsidRPr="00DC1291" w:rsidRDefault="00DC1291" w:rsidP="00DC1291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hAnsi="Times New Roman"/>
          <w:bCs/>
          <w:i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 xml:space="preserve">В случае если величина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(j) /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>(0) меньше величины Барьер(j)  хотя бы для одного Референсного актива i, Ставка дополнительного дохода равна 0 (Нулю);</w:t>
      </w:r>
    </w:p>
    <w:p w14:paraId="78A7CABB" w14:textId="77777777" w:rsidR="00DC1291" w:rsidRPr="00DC1291" w:rsidRDefault="00DC1291" w:rsidP="00DC1291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hAnsi="Times New Roman"/>
          <w:bCs/>
          <w:i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 xml:space="preserve">В случае если величина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(j) /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>(0) больше или равна величине Барьер(j) для каждого Референсного актива i, Ставка дополнительного дохода определяется по формуле ниже.</w:t>
      </w:r>
    </w:p>
    <w:p w14:paraId="581957F3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Times New Roman" w:hAnsi="Times New Roman"/>
          <w:bCs/>
          <w:i/>
          <w:iCs/>
          <w:szCs w:val="20"/>
        </w:rPr>
      </w:pPr>
    </w:p>
    <w:p w14:paraId="5F4FF465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Ставка дополнительного дохода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</w:rPr>
        <w:t xml:space="preserve"> </w:t>
      </w:r>
      <w:r w:rsidRPr="00DC1291">
        <w:rPr>
          <w:rFonts w:ascii="Times New Roman" w:hAnsi="Times New Roman"/>
          <w:b/>
          <w:bCs/>
          <w:i/>
          <w:iCs/>
          <w:szCs w:val="20"/>
        </w:rPr>
        <w:t xml:space="preserve">= 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n</w:t>
      </w:r>
      <w:r w:rsidRPr="00DC1291">
        <w:rPr>
          <w:rFonts w:ascii="Times New Roman" w:hAnsi="Times New Roman"/>
          <w:b/>
          <w:bCs/>
          <w:i/>
          <w:iCs/>
          <w:szCs w:val="20"/>
        </w:rPr>
        <w:t xml:space="preserve"> * 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R</w:t>
      </w:r>
      <w:r w:rsidRPr="00DC1291">
        <w:rPr>
          <w:rFonts w:ascii="Times New Roman" w:hAnsi="Times New Roman"/>
          <w:b/>
          <w:bCs/>
          <w:i/>
          <w:iCs/>
          <w:szCs w:val="20"/>
        </w:rPr>
        <w:t xml:space="preserve"> / 2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, </w:t>
      </w:r>
      <w:r w:rsidRPr="00DC1291">
        <w:rPr>
          <w:rFonts w:ascii="Times New Roman" w:hAnsi="Times New Roman"/>
          <w:color w:val="000000"/>
          <w:szCs w:val="20"/>
        </w:rPr>
        <w:t>где:</w:t>
      </w:r>
    </w:p>
    <w:p w14:paraId="195FAED8" w14:textId="6DE9210A" w:rsidR="00DC1291" w:rsidRPr="00DC1291" w:rsidRDefault="00DC1291" w:rsidP="00DC1291">
      <w:pPr>
        <w:autoSpaceDE w:val="0"/>
        <w:autoSpaceDN w:val="0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/>
          <w:i/>
          <w:szCs w:val="20"/>
          <w:lang w:val="en-US"/>
        </w:rPr>
        <w:t>R</w:t>
      </w:r>
      <w:r w:rsidRPr="00DC1291">
        <w:rPr>
          <w:rFonts w:ascii="Times New Roman" w:hAnsi="Times New Roman"/>
          <w:szCs w:val="20"/>
        </w:rPr>
        <w:t xml:space="preserve"> –</w:t>
      </w:r>
      <w:r w:rsidRPr="00DC1291">
        <w:rPr>
          <w:rFonts w:ascii="Times New Roman" w:hAnsi="Times New Roman"/>
          <w:b/>
          <w:i/>
          <w:szCs w:val="20"/>
        </w:rPr>
        <w:t xml:space="preserve"> </w:t>
      </w:r>
      <w:r w:rsidRPr="00DC1291">
        <w:rPr>
          <w:rFonts w:ascii="Times New Roman" w:hAnsi="Times New Roman"/>
          <w:szCs w:val="20"/>
        </w:rPr>
        <w:t>величина</w:t>
      </w:r>
      <w:r w:rsidRPr="00DC1291">
        <w:rPr>
          <w:rFonts w:ascii="Times New Roman" w:hAnsi="Times New Roman"/>
          <w:b/>
          <w:i/>
          <w:szCs w:val="20"/>
        </w:rPr>
        <w:t xml:space="preserve"> Параметра</w:t>
      </w:r>
      <w:r w:rsidRPr="00DC1291">
        <w:rPr>
          <w:rFonts w:ascii="Times New Roman" w:hAnsi="Times New Roman"/>
          <w:szCs w:val="20"/>
        </w:rPr>
        <w:t xml:space="preserve">, в процентах. Определяется </w:t>
      </w:r>
      <w:r w:rsidRPr="00DC1291">
        <w:rPr>
          <w:rFonts w:ascii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Предварительный договор. Информация о величине </w:t>
      </w:r>
      <w:r w:rsidRPr="00DC1291">
        <w:rPr>
          <w:rFonts w:ascii="Times New Roman" w:hAnsi="Times New Roman"/>
          <w:b/>
          <w:bCs/>
          <w:i/>
          <w:iCs/>
          <w:szCs w:val="20"/>
        </w:rPr>
        <w:t>Параметра</w:t>
      </w:r>
      <w:r w:rsidRPr="00DC1291">
        <w:rPr>
          <w:rFonts w:ascii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06C35A61" w14:textId="77777777" w:rsidR="00DC1291" w:rsidRPr="00DC1291" w:rsidRDefault="00DC1291" w:rsidP="00DC1291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i/>
          <w:szCs w:val="20"/>
          <w:lang w:val="en-US"/>
        </w:rPr>
        <w:t>n</w:t>
      </w:r>
      <w:r w:rsidRPr="00DC1291">
        <w:rPr>
          <w:rFonts w:ascii="Times New Roman" w:hAnsi="Times New Roman"/>
          <w:color w:val="000000"/>
          <w:szCs w:val="20"/>
        </w:rPr>
        <w:t xml:space="preserve"> – </w:t>
      </w:r>
      <w:r w:rsidRPr="00DC1291">
        <w:rPr>
          <w:rFonts w:ascii="Times New Roman" w:hAnsi="Times New Roman"/>
          <w:szCs w:val="20"/>
        </w:rPr>
        <w:t xml:space="preserve">величина, равная разнице между соответствующим номером Даты выплаты дополнительного дохода </w:t>
      </w:r>
      <w:r w:rsidRPr="00DC1291">
        <w:rPr>
          <w:rFonts w:ascii="Times New Roman" w:hAnsi="Times New Roman"/>
          <w:i/>
          <w:szCs w:val="20"/>
          <w:lang w:val="en-US"/>
        </w:rPr>
        <w:t>j</w:t>
      </w:r>
      <w:r w:rsidRPr="00DC1291">
        <w:rPr>
          <w:rFonts w:ascii="Times New Roman" w:hAnsi="Times New Roman"/>
          <w:szCs w:val="20"/>
        </w:rPr>
        <w:t xml:space="preserve"> и номером последней Даты выплаты дополнительного дохода, в которую сумма Дополнительного дохода превышала 0. Для первой Даты выплаты дополнительного дохода величина </w:t>
      </w:r>
      <w:r w:rsidRPr="00DC1291">
        <w:rPr>
          <w:rFonts w:ascii="Times New Roman" w:hAnsi="Times New Roman"/>
          <w:szCs w:val="20"/>
          <w:lang w:val="en-US"/>
        </w:rPr>
        <w:t>n</w:t>
      </w:r>
      <w:r w:rsidRPr="00DC1291">
        <w:rPr>
          <w:rFonts w:ascii="Times New Roman" w:hAnsi="Times New Roman"/>
          <w:szCs w:val="20"/>
        </w:rPr>
        <w:t xml:space="preserve"> принимается равной 1;</w:t>
      </w:r>
    </w:p>
    <w:p w14:paraId="0F6F00C6" w14:textId="77777777" w:rsidR="00DC1291" w:rsidRPr="00DC1291" w:rsidRDefault="00DC1291" w:rsidP="00DC1291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j</w:t>
      </w:r>
      <w:r w:rsidRPr="00DC1291">
        <w:rPr>
          <w:rFonts w:ascii="Times New Roman" w:hAnsi="Times New Roman"/>
          <w:szCs w:val="20"/>
        </w:rPr>
        <w:t xml:space="preserve"> – порядковый номер выплаты дополнительного дохода (</w:t>
      </w:r>
      <w:r w:rsidRPr="00DC1291">
        <w:rPr>
          <w:rFonts w:ascii="Times New Roman" w:hAnsi="Times New Roman"/>
          <w:b/>
          <w:i/>
          <w:szCs w:val="20"/>
        </w:rPr>
        <w:t>j</w:t>
      </w:r>
      <w:r w:rsidRPr="00DC1291">
        <w:rPr>
          <w:rFonts w:ascii="Times New Roman" w:hAnsi="Times New Roman"/>
          <w:b/>
          <w:szCs w:val="20"/>
        </w:rPr>
        <w:t xml:space="preserve"> </w:t>
      </w:r>
      <w:r w:rsidRPr="00DC1291">
        <w:rPr>
          <w:rFonts w:ascii="Times New Roman" w:hAnsi="Times New Roman"/>
          <w:szCs w:val="20"/>
        </w:rPr>
        <w:t xml:space="preserve">= 1, 2, 3, 4, 5, 6); </w:t>
      </w:r>
    </w:p>
    <w:p w14:paraId="307D74FC" w14:textId="77777777" w:rsidR="00DC1291" w:rsidRPr="00DC1291" w:rsidRDefault="00DC1291" w:rsidP="00DC1291">
      <w:pPr>
        <w:autoSpaceDE w:val="0"/>
        <w:autoSpaceDN w:val="0"/>
        <w:spacing w:before="120" w:after="120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i/>
          <w:szCs w:val="20"/>
          <w:lang w:val="en-US"/>
        </w:rPr>
        <w:t>i</w:t>
      </w:r>
      <w:r w:rsidRPr="00DC1291">
        <w:rPr>
          <w:rFonts w:ascii="Times New Roman" w:hAnsi="Times New Roman"/>
          <w:color w:val="000000"/>
          <w:szCs w:val="20"/>
        </w:rPr>
        <w:t xml:space="preserve"> – порядковый номер Референсного актива (</w:t>
      </w:r>
      <w:r w:rsidRPr="00DC1291">
        <w:rPr>
          <w:rFonts w:ascii="Times New Roman" w:hAnsi="Times New Roman"/>
          <w:b/>
          <w:i/>
          <w:color w:val="000000"/>
          <w:szCs w:val="20"/>
          <w:lang w:val="en-US"/>
        </w:rPr>
        <w:t>i</w:t>
      </w:r>
      <w:r w:rsidRPr="00DC1291">
        <w:rPr>
          <w:rFonts w:ascii="Times New Roman" w:hAnsi="Times New Roman"/>
          <w:color w:val="000000"/>
          <w:szCs w:val="20"/>
        </w:rPr>
        <w:t xml:space="preserve">  = 1, 2, 3, 4);</w:t>
      </w:r>
    </w:p>
    <w:p w14:paraId="57FDC535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/>
          <w:bCs/>
          <w:i/>
          <w:iCs/>
          <w:szCs w:val="20"/>
        </w:rPr>
        <w:t>(0)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 </w:t>
      </w:r>
      <w:r w:rsidRPr="00DC1291">
        <w:rPr>
          <w:rFonts w:ascii="Times New Roman" w:hAnsi="Times New Roman"/>
          <w:color w:val="000000"/>
          <w:szCs w:val="20"/>
        </w:rPr>
        <w:t>– цена закрытия Референсного актива (</w:t>
      </w:r>
      <w:r w:rsidRPr="00DC1291">
        <w:rPr>
          <w:rFonts w:ascii="Times New Roman" w:hAnsi="Times New Roman"/>
          <w:i/>
          <w:color w:val="000000"/>
          <w:szCs w:val="20"/>
        </w:rPr>
        <w:t xml:space="preserve">i) </w:t>
      </w:r>
      <w:r w:rsidRPr="00DC1291">
        <w:rPr>
          <w:rFonts w:ascii="Times New Roman" w:hAnsi="Times New Roman"/>
          <w:color w:val="000000"/>
          <w:szCs w:val="20"/>
        </w:rPr>
        <w:t>в Дату начала размещения Биржевых облигаций на соответствующей бирже Референсного актива в валюте Референсного актива;</w:t>
      </w:r>
    </w:p>
    <w:p w14:paraId="3D835E0B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/>
          <w:bCs/>
          <w:i/>
          <w:iCs/>
          <w:szCs w:val="20"/>
        </w:rPr>
        <w:t>(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</w:rPr>
        <w:t>)</w:t>
      </w:r>
      <w:r w:rsidRPr="00DC1291">
        <w:rPr>
          <w:rFonts w:ascii="Times New Roman" w:hAnsi="Times New Roman"/>
          <w:color w:val="000000"/>
          <w:szCs w:val="20"/>
        </w:rPr>
        <w:t xml:space="preserve"> – цена закрытия Референсного актива (</w:t>
      </w:r>
      <w:r w:rsidRPr="00DC1291">
        <w:rPr>
          <w:rFonts w:ascii="Times New Roman" w:hAnsi="Times New Roman"/>
          <w:i/>
          <w:color w:val="000000"/>
          <w:szCs w:val="20"/>
        </w:rPr>
        <w:t xml:space="preserve">i) </w:t>
      </w:r>
      <w:r w:rsidRPr="00DC1291">
        <w:rPr>
          <w:rFonts w:ascii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DC1291">
        <w:rPr>
          <w:rFonts w:ascii="Times New Roman" w:hAnsi="Times New Roman"/>
          <w:i/>
          <w:color w:val="000000"/>
          <w:szCs w:val="20"/>
        </w:rPr>
        <w:t>(</w:t>
      </w:r>
      <w:r w:rsidRPr="00DC1291">
        <w:rPr>
          <w:rFonts w:ascii="Times New Roman" w:hAnsi="Times New Roman"/>
          <w:i/>
          <w:color w:val="000000"/>
          <w:szCs w:val="20"/>
          <w:lang w:val="en-US"/>
        </w:rPr>
        <w:t>j</w:t>
      </w:r>
      <w:r w:rsidRPr="00DC1291">
        <w:rPr>
          <w:rFonts w:ascii="Times New Roman" w:hAnsi="Times New Roman"/>
          <w:i/>
          <w:color w:val="000000"/>
          <w:szCs w:val="20"/>
        </w:rPr>
        <w:t>)</w:t>
      </w:r>
      <w:r w:rsidRPr="00DC1291">
        <w:rPr>
          <w:rFonts w:ascii="Times New Roman" w:hAnsi="Times New Roman"/>
          <w:color w:val="000000"/>
          <w:szCs w:val="20"/>
        </w:rPr>
        <w:t xml:space="preserve"> на соответствующей бирже Референсного актива в валюте Референсного актива. </w:t>
      </w:r>
    </w:p>
    <w:p w14:paraId="73BB9306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Барьер(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</w:rPr>
        <w:t>)</w:t>
      </w:r>
      <w:r w:rsidRPr="00DC1291">
        <w:rPr>
          <w:rFonts w:ascii="Times New Roman" w:hAnsi="Times New Roman"/>
          <w:color w:val="000000"/>
          <w:szCs w:val="20"/>
        </w:rPr>
        <w:t xml:space="preserve"> – </w:t>
      </w:r>
      <w:r w:rsidRPr="00DC1291">
        <w:rPr>
          <w:rFonts w:ascii="Times New Roman" w:hAnsi="Times New Roman"/>
          <w:bCs/>
          <w:iCs/>
          <w:szCs w:val="20"/>
        </w:rPr>
        <w:t>величина барьера, которая принимает следующие значения для соответствующей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 Даты определения дополнительного дохода (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Cs/>
          <w:i/>
          <w:iCs/>
          <w:szCs w:val="20"/>
        </w:rPr>
        <w:t>)</w:t>
      </w:r>
      <w:r w:rsidRPr="00DC1291">
        <w:rPr>
          <w:rFonts w:ascii="Times New Roman" w:hAnsi="Times New Roman"/>
          <w:bCs/>
          <w:iCs/>
          <w:szCs w:val="20"/>
        </w:rPr>
        <w:t>:</w:t>
      </w:r>
    </w:p>
    <w:tbl>
      <w:tblPr>
        <w:tblStyle w:val="af3"/>
        <w:tblW w:w="0" w:type="auto"/>
        <w:tblInd w:w="1555" w:type="dxa"/>
        <w:tblLook w:val="04A0" w:firstRow="1" w:lastRow="0" w:firstColumn="1" w:lastColumn="0" w:noHBand="0" w:noVBand="1"/>
      </w:tblPr>
      <w:tblGrid>
        <w:gridCol w:w="4110"/>
        <w:gridCol w:w="2977"/>
      </w:tblGrid>
      <w:tr w:rsidR="00DC1291" w:rsidRPr="00DC1291" w14:paraId="2DF8E5D5" w14:textId="77777777" w:rsidTr="00E35C09">
        <w:trPr>
          <w:trHeight w:val="716"/>
        </w:trPr>
        <w:tc>
          <w:tcPr>
            <w:tcW w:w="4110" w:type="dxa"/>
          </w:tcPr>
          <w:p w14:paraId="7E0454DF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</w:rPr>
              <w:t xml:space="preserve">Номер </w:t>
            </w:r>
            <w:r w:rsidRPr="00DC1291">
              <w:rPr>
                <w:rFonts w:ascii="Times New Roman" w:hAnsi="Times New Roman"/>
                <w:bCs/>
                <w:i/>
                <w:iCs/>
                <w:szCs w:val="20"/>
              </w:rPr>
              <w:t>Даты определения дополнительного дохода (</w:t>
            </w:r>
            <w:r w:rsidRPr="00DC1291">
              <w:rPr>
                <w:rFonts w:ascii="Times New Roman" w:hAnsi="Times New Roman"/>
                <w:bCs/>
                <w:i/>
                <w:iCs/>
                <w:szCs w:val="20"/>
                <w:lang w:val="en-US"/>
              </w:rPr>
              <w:t>j</w:t>
            </w:r>
            <w:r w:rsidRPr="00DC1291">
              <w:rPr>
                <w:rFonts w:ascii="Times New Roman" w:hAnsi="Times New Roman"/>
                <w:bCs/>
                <w:i/>
                <w:iCs/>
                <w:szCs w:val="20"/>
              </w:rPr>
              <w:t>)</w:t>
            </w:r>
          </w:p>
        </w:tc>
        <w:tc>
          <w:tcPr>
            <w:tcW w:w="2977" w:type="dxa"/>
          </w:tcPr>
          <w:p w14:paraId="0738ED6B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</w:rPr>
              <w:t xml:space="preserve">Значение </w:t>
            </w:r>
            <w:r w:rsidRPr="00DC1291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Барьера(</w:t>
            </w:r>
            <w:r w:rsidRPr="00DC1291">
              <w:rPr>
                <w:rFonts w:ascii="Times New Roman" w:hAnsi="Times New Roman"/>
                <w:b/>
                <w:bCs/>
                <w:i/>
                <w:iCs/>
                <w:szCs w:val="20"/>
                <w:lang w:val="en-US"/>
              </w:rPr>
              <w:t>j</w:t>
            </w:r>
            <w:r w:rsidRPr="00DC1291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)</w:t>
            </w:r>
          </w:p>
        </w:tc>
      </w:tr>
      <w:tr w:rsidR="00DC1291" w:rsidRPr="00DC1291" w14:paraId="7CA6DAF2" w14:textId="77777777" w:rsidTr="00E35C09">
        <w:trPr>
          <w:trHeight w:val="459"/>
        </w:trPr>
        <w:tc>
          <w:tcPr>
            <w:tcW w:w="4110" w:type="dxa"/>
          </w:tcPr>
          <w:p w14:paraId="4095EC8D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  <w:lang w:val="en-US"/>
              </w:rPr>
              <w:t>1, 2, 3, 4, 5, 6</w:t>
            </w:r>
          </w:p>
        </w:tc>
        <w:tc>
          <w:tcPr>
            <w:tcW w:w="2977" w:type="dxa"/>
          </w:tcPr>
          <w:p w14:paraId="52A0C4B3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</w:rPr>
              <w:t>9</w:t>
            </w:r>
            <w:r w:rsidRPr="00DC1291">
              <w:rPr>
                <w:rFonts w:ascii="Times New Roman" w:hAnsi="Times New Roman"/>
                <w:bCs/>
                <w:iCs/>
                <w:szCs w:val="20"/>
                <w:lang w:val="en-US"/>
              </w:rPr>
              <w:t>5</w:t>
            </w:r>
            <w:r w:rsidRPr="00DC1291">
              <w:rPr>
                <w:rFonts w:ascii="Times New Roman" w:hAnsi="Times New Roman"/>
                <w:bCs/>
                <w:iCs/>
                <w:szCs w:val="20"/>
              </w:rPr>
              <w:t>%</w:t>
            </w:r>
          </w:p>
        </w:tc>
      </w:tr>
    </w:tbl>
    <w:p w14:paraId="282A608A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Cs/>
          <w:iCs/>
          <w:szCs w:val="20"/>
        </w:rPr>
        <w:t xml:space="preserve"> </w:t>
      </w:r>
    </w:p>
    <w:p w14:paraId="7CC653E3" w14:textId="77777777" w:rsidR="00DC1291" w:rsidRPr="00DC1291" w:rsidRDefault="00DC1291" w:rsidP="00DC1291">
      <w:pPr>
        <w:spacing w:before="120" w:after="120"/>
        <w:jc w:val="both"/>
        <w:rPr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Торговый день</w:t>
      </w:r>
      <w:r w:rsidRPr="00DC1291">
        <w:rPr>
          <w:rFonts w:ascii="Times New Roman" w:hAnsi="Times New Roman"/>
          <w:szCs w:val="20"/>
        </w:rPr>
        <w:t xml:space="preserve"> – каждый день, в который осуществляются торги со всеми Референсными активами на соответствующих Биржах Референсных активов.</w:t>
      </w:r>
    </w:p>
    <w:p w14:paraId="466F29AE" w14:textId="073299EB" w:rsidR="00DC1291" w:rsidRPr="00DC1291" w:rsidRDefault="00DC1291" w:rsidP="00DC1291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Дата определения</w:t>
      </w:r>
      <w:r w:rsidRPr="00DC1291">
        <w:rPr>
          <w:rFonts w:ascii="Times New Roman" w:hAnsi="Times New Roman"/>
          <w:bCs/>
          <w:iCs/>
          <w:szCs w:val="20"/>
        </w:rPr>
        <w:t xml:space="preserve"> </w:t>
      </w:r>
      <w:r w:rsidRPr="00DC1291">
        <w:rPr>
          <w:rFonts w:ascii="Times New Roman" w:hAnsi="Times New Roman"/>
          <w:b/>
          <w:bCs/>
          <w:i/>
          <w:iCs/>
          <w:szCs w:val="20"/>
        </w:rPr>
        <w:t>дополнительного дохода</w:t>
      </w:r>
      <w:r w:rsidRPr="00DC1291">
        <w:rPr>
          <w:rFonts w:ascii="Times New Roman" w:hAnsi="Times New Roman"/>
          <w:color w:val="000000"/>
          <w:szCs w:val="20"/>
        </w:rPr>
        <w:t xml:space="preserve"> – 2</w:t>
      </w:r>
      <w:r w:rsidRPr="00DC1291">
        <w:rPr>
          <w:rFonts w:ascii="Times New Roman" w:hAnsi="Times New Roman"/>
          <w:bCs/>
          <w:iCs/>
          <w:szCs w:val="20"/>
        </w:rPr>
        <w:t xml:space="preserve">-ой (второй) торговый день, предшествующий Дате выплаты дополнительного дохода. </w:t>
      </w:r>
      <w:r w:rsidRPr="00DC1291">
        <w:rPr>
          <w:rFonts w:ascii="Times New Roman" w:hAnsi="Times New Roman"/>
          <w:color w:val="000000"/>
          <w:szCs w:val="20"/>
        </w:rPr>
        <w:t xml:space="preserve">Если цены Референсных активов не могут быть определены в Дату определения дополнительного дохода, то последовательно перебираются 4-ый, 5-ый и так далее предшествующие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нулю. </w:t>
      </w:r>
    </w:p>
    <w:p w14:paraId="319ED520" w14:textId="77777777" w:rsidR="00DC1291" w:rsidRPr="00DC1291" w:rsidRDefault="00DC1291" w:rsidP="00DC1291">
      <w:pPr>
        <w:autoSpaceDE w:val="0"/>
        <w:autoSpaceDN w:val="0"/>
        <w:spacing w:after="120"/>
        <w:ind w:hanging="1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i/>
          <w:color w:val="000000"/>
          <w:szCs w:val="20"/>
        </w:rPr>
        <w:t>Референсные активы</w:t>
      </w:r>
      <w:r w:rsidRPr="00DC1291">
        <w:rPr>
          <w:rFonts w:ascii="Times New Roman" w:hAnsi="Times New Roman"/>
          <w:color w:val="000000"/>
          <w:szCs w:val="20"/>
        </w:rPr>
        <w:t>: по одной обыкновенной акции следующих эмитентов со следующими характеристиками:</w:t>
      </w:r>
    </w:p>
    <w:tbl>
      <w:tblPr>
        <w:tblW w:w="10078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1702"/>
        <w:gridCol w:w="283"/>
        <w:gridCol w:w="1983"/>
        <w:gridCol w:w="282"/>
        <w:gridCol w:w="5529"/>
      </w:tblGrid>
      <w:tr w:rsidR="0074568C" w:rsidRPr="0074568C" w14:paraId="0E05419E" w14:textId="77777777" w:rsidTr="0074568C">
        <w:trPr>
          <w:trHeight w:val="30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93F1C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/>
              </w:rPr>
            </w:pPr>
            <w:r w:rsidRPr="0074568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71FCB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Наименование эмитента Референсного актива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B63B9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a. 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D73CB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Тикер Bloomberg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00670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3F2C6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Биржа Референсного актива</w:t>
            </w:r>
          </w:p>
        </w:tc>
      </w:tr>
      <w:tr w:rsidR="0074568C" w:rsidRPr="0074568C" w14:paraId="0648E24F" w14:textId="77777777" w:rsidTr="0074568C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2F9E6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9F2E7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8559E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9761A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ISIN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485E9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1F38A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Источник цены (ссылка)</w:t>
            </w:r>
          </w:p>
        </w:tc>
      </w:tr>
      <w:tr w:rsidR="0074568C" w:rsidRPr="0074568C" w14:paraId="4DF62F29" w14:textId="77777777" w:rsidTr="0074568C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1E96C4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A9B2B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FA2C6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c.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48455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Валюта актива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59B35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FEA23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Тип значения на странице по ссылке</w:t>
            </w:r>
          </w:p>
        </w:tc>
      </w:tr>
      <w:tr w:rsidR="0074568C" w:rsidRPr="0074568C" w14:paraId="5828EEE8" w14:textId="77777777" w:rsidTr="0074568C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7C07B1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FFC4C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Activision Blizzard, Inc.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ED823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a.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6791A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ATVI UW Equity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0B1BD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F6A96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74568C" w:rsidRPr="0074568C" w14:paraId="23094BFA" w14:textId="77777777" w:rsidTr="0074568C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22222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442C1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195C4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B6E1F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US00507V1098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C8701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4395C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</w:rPr>
            </w:pPr>
            <w:r w:rsidRPr="0074568C"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</w:rPr>
              <w:t>https://www.nasdaq.com/market-activity/stocks/atvi/historical</w:t>
            </w:r>
          </w:p>
        </w:tc>
      </w:tr>
      <w:tr w:rsidR="0074568C" w:rsidRPr="0074568C" w14:paraId="62665083" w14:textId="77777777" w:rsidTr="0074568C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B46939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57A69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5EBA8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c.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E59E2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Доллары США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B0260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6FD76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Значение Close/Last</w:t>
            </w:r>
          </w:p>
        </w:tc>
      </w:tr>
      <w:tr w:rsidR="0074568C" w:rsidRPr="0074568C" w14:paraId="7CCE1F51" w14:textId="77777777" w:rsidTr="0074568C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2B97B9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8376C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Adobe, Inc.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3124F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a.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24601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ADBE UW Equity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45E05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7AE7F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74568C" w:rsidRPr="0074568C" w14:paraId="79D71DC8" w14:textId="77777777" w:rsidTr="0074568C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456D2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D37B72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3B75C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DEA1C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US00724F1012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B1C06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EE293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</w:rPr>
            </w:pPr>
            <w:r w:rsidRPr="0074568C"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</w:rPr>
              <w:t>https://www.nasdaq.com/market-activity/stocks/adbe/historical</w:t>
            </w:r>
          </w:p>
        </w:tc>
      </w:tr>
      <w:tr w:rsidR="0074568C" w:rsidRPr="0074568C" w14:paraId="3754346E" w14:textId="77777777" w:rsidTr="0074568C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E6F93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2B4639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1E129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c.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79D76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Доллары США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0A137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5A3A8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Значение Close/Last</w:t>
            </w:r>
          </w:p>
        </w:tc>
      </w:tr>
      <w:tr w:rsidR="0074568C" w:rsidRPr="009632ED" w14:paraId="17BA0101" w14:textId="77777777" w:rsidTr="0074568C">
        <w:trPr>
          <w:trHeight w:val="30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C35FB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FA5BE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JPMorgan Chase &amp; Co.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62F69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a.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58A44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JPM UN Equity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6123D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6AF90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Нью</w:t>
            </w: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-</w:t>
            </w: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Йоркская</w:t>
            </w: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фондовая</w:t>
            </w: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биржа</w:t>
            </w: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(New Your Stock Exchange)</w:t>
            </w:r>
          </w:p>
        </w:tc>
      </w:tr>
      <w:tr w:rsidR="0074568C" w:rsidRPr="0074568C" w14:paraId="6EEDF4C2" w14:textId="77777777" w:rsidTr="0074568C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54719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456BB8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218F4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441CD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US46625H1005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D244D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654BF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</w:rPr>
            </w:pPr>
            <w:r w:rsidRPr="0074568C"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</w:rPr>
              <w:t>https://www.nyse.com/quote/XNYS:JPM</w:t>
            </w:r>
          </w:p>
        </w:tc>
      </w:tr>
      <w:tr w:rsidR="0074568C" w:rsidRPr="0074568C" w14:paraId="7215C7C2" w14:textId="77777777" w:rsidTr="0074568C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D39A5B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D573D9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9F6B0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c.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9BA3F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Доллары США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AC37A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9E8D3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Значение Close</w:t>
            </w:r>
          </w:p>
        </w:tc>
      </w:tr>
      <w:tr w:rsidR="0074568C" w:rsidRPr="009632ED" w14:paraId="1276A231" w14:textId="77777777" w:rsidTr="0074568C">
        <w:trPr>
          <w:trHeight w:val="51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D46E7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5D546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Coca-Cola Company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3B199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a.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12C40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 UN Equity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B5BC8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CDAE8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Нью</w:t>
            </w: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-</w:t>
            </w: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Йоркская</w:t>
            </w: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фондовая</w:t>
            </w: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биржа</w:t>
            </w: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(New Your Stock Exchange)</w:t>
            </w:r>
          </w:p>
        </w:tc>
      </w:tr>
      <w:tr w:rsidR="0074568C" w:rsidRPr="0074568C" w14:paraId="51DFBF16" w14:textId="77777777" w:rsidTr="0074568C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8F635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A493C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877EA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CFBD1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US1912161007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5300F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16C98" w14:textId="77777777" w:rsidR="0074568C" w:rsidRPr="0074568C" w:rsidRDefault="00C521AE" w:rsidP="0074568C">
            <w:pPr>
              <w:spacing w:after="0" w:line="240" w:lineRule="auto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</w:rPr>
            </w:pPr>
            <w:hyperlink r:id="rId8" w:history="1">
              <w:r w:rsidR="0074568C" w:rsidRPr="0074568C">
                <w:rPr>
                  <w:rFonts w:ascii="Arial" w:eastAsia="Times New Roman" w:hAnsi="Arial" w:cs="Arial"/>
                  <w:color w:val="0563C1"/>
                  <w:sz w:val="20"/>
                  <w:szCs w:val="20"/>
                  <w:u w:val="single"/>
                </w:rPr>
                <w:t xml:space="preserve">https://www.nyse.com/quote/XNYS:KO </w:t>
              </w:r>
            </w:hyperlink>
          </w:p>
        </w:tc>
      </w:tr>
      <w:tr w:rsidR="0074568C" w:rsidRPr="0074568C" w14:paraId="4C86BF78" w14:textId="77777777" w:rsidTr="0074568C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B28DDB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8BC63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FF3CA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c.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84D59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Доллары США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C1550" w14:textId="77777777" w:rsidR="0074568C" w:rsidRPr="0074568C" w:rsidRDefault="0074568C" w:rsidP="007456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A90EE" w14:textId="77777777" w:rsidR="0074568C" w:rsidRPr="0074568C" w:rsidRDefault="0074568C" w:rsidP="00745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56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Значение Close</w:t>
            </w:r>
          </w:p>
        </w:tc>
      </w:tr>
    </w:tbl>
    <w:p w14:paraId="22DA8EF7" w14:textId="77777777" w:rsidR="00DC1291" w:rsidRPr="00DC1291" w:rsidRDefault="00DC1291" w:rsidP="00DC1291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  <w:lang w:val="en-US"/>
        </w:rPr>
      </w:pPr>
    </w:p>
    <w:p w14:paraId="35AB6A94" w14:textId="77777777" w:rsidR="00DC1291" w:rsidRPr="00DC1291" w:rsidRDefault="00DC1291" w:rsidP="00DC1291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0C24893C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>ДД (руб.)</w:t>
      </w:r>
      <w:r w:rsidRPr="00DC1291">
        <w:rPr>
          <w:rFonts w:ascii="Times New Roman" w:hAnsi="Times New Roman"/>
          <w:bCs/>
          <w:iCs/>
          <w:szCs w:val="20"/>
        </w:rPr>
        <w:t xml:space="preserve"> = </w:t>
      </w:r>
      <w:r w:rsidRPr="00DC1291">
        <w:rPr>
          <w:rFonts w:ascii="Times New Roman" w:hAnsi="Times New Roman"/>
          <w:bCs/>
          <w:i/>
          <w:iCs/>
          <w:szCs w:val="20"/>
        </w:rPr>
        <w:t>Nom ×</w:t>
      </w:r>
      <w:r w:rsidRPr="00DC1291">
        <w:rPr>
          <w:rFonts w:ascii="Times New Roman" w:hAnsi="Times New Roman"/>
          <w:i/>
          <w:szCs w:val="20"/>
        </w:rPr>
        <w:t xml:space="preserve"> </w:t>
      </w:r>
      <w:r w:rsidRPr="00DC1291">
        <w:rPr>
          <w:rFonts w:ascii="Times New Roman" w:hAnsi="Times New Roman"/>
          <w:bCs/>
          <w:i/>
          <w:iCs/>
          <w:szCs w:val="20"/>
        </w:rPr>
        <w:t>Ставка дополнительного дохода(j)</w:t>
      </w:r>
      <w:r w:rsidRPr="00DC1291">
        <w:rPr>
          <w:rFonts w:ascii="Times New Roman" w:hAnsi="Times New Roman"/>
          <w:bCs/>
          <w:iCs/>
          <w:szCs w:val="20"/>
        </w:rPr>
        <w:t>, где</w:t>
      </w:r>
    </w:p>
    <w:p w14:paraId="70B171A0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>Ставка дополнительного дохода(j)</w:t>
      </w:r>
      <w:r w:rsidRPr="00DC1291">
        <w:rPr>
          <w:rFonts w:ascii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260F51E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>Nom</w:t>
      </w:r>
      <w:r w:rsidRPr="00DC1291">
        <w:rPr>
          <w:rFonts w:ascii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568CB0D8" w14:textId="3CA8729D" w:rsidR="00357B16" w:rsidRPr="00357B16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DC1291">
        <w:rPr>
          <w:rFonts w:ascii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629925FC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DC1291" w:rsidRPr="00DC1291">
        <w:rPr>
          <w:rFonts w:ascii="Times New Roman" w:hAnsi="Times New Roman"/>
          <w:b/>
          <w:bCs/>
          <w:i/>
          <w:iCs/>
        </w:rPr>
        <w:t>1092-ой (Одна тысяча девяносто второй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D6821" w14:textId="77777777" w:rsidR="00C521AE" w:rsidRDefault="00C521AE" w:rsidP="0053664B">
      <w:pPr>
        <w:spacing w:after="0" w:line="240" w:lineRule="auto"/>
      </w:pPr>
      <w:r>
        <w:separator/>
      </w:r>
    </w:p>
  </w:endnote>
  <w:endnote w:type="continuationSeparator" w:id="0">
    <w:p w14:paraId="7B43A26A" w14:textId="77777777" w:rsidR="00C521AE" w:rsidRDefault="00C521AE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34C86187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05027B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10632" w14:textId="77777777" w:rsidR="00C521AE" w:rsidRDefault="00C521AE" w:rsidP="0053664B">
      <w:pPr>
        <w:spacing w:after="0" w:line="240" w:lineRule="auto"/>
      </w:pPr>
      <w:r>
        <w:separator/>
      </w:r>
    </w:p>
  </w:footnote>
  <w:footnote w:type="continuationSeparator" w:id="0">
    <w:p w14:paraId="4B6BB7AE" w14:textId="77777777" w:rsidR="00C521AE" w:rsidRDefault="00C521AE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279"/>
    <w:rsid w:val="000357DE"/>
    <w:rsid w:val="0003580E"/>
    <w:rsid w:val="000379E0"/>
    <w:rsid w:val="000402F6"/>
    <w:rsid w:val="00044DC2"/>
    <w:rsid w:val="00046AA6"/>
    <w:rsid w:val="00047247"/>
    <w:rsid w:val="0005027B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223C"/>
    <w:rsid w:val="00174A86"/>
    <w:rsid w:val="00176B5F"/>
    <w:rsid w:val="00176D62"/>
    <w:rsid w:val="001802AF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C4A"/>
    <w:rsid w:val="001A5FD9"/>
    <w:rsid w:val="001A6663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36AD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4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6B9A"/>
    <w:rsid w:val="00462E51"/>
    <w:rsid w:val="004634ED"/>
    <w:rsid w:val="00466238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2E9E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3C39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568C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4330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68CE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2ED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48B2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1AE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291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3F98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56EC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B820B0D7-A0F4-4598-9605-888D1185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se.com/quote/XNYS:KO%20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E633-6FCF-49E4-A548-BDB47C4E1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5022</Words>
  <Characters>28626</Characters>
  <Application>Microsoft Office Word</Application>
  <DocSecurity>0</DocSecurity>
  <Lines>238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2020-08-03T09:13:00Z</dcterms:created>
  <dcterms:modified xsi:type="dcterms:W3CDTF">2020-08-03T09:13:00Z</dcterms:modified>
</cp:coreProperties>
</file>