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54CA2E" w:rsid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40052C5" w:rsidR="0074568C" w:rsidRPr="007D19D2" w:rsidRDefault="007D19D2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61701E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7D19D2" w:rsidRPr="007D19D2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22E9E" w:rsidRPr="001C73C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1C73C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1C73C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22E9E" w:rsidRPr="001C73C4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5E3C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2D965D5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10</w:t>
      </w:r>
      <w:r w:rsidR="007D19D2" w:rsidRPr="007D19D2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E6AA68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10</w:t>
      </w:r>
      <w:r w:rsidR="007D19D2" w:rsidRPr="007D19D2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4568C">
        <w:rPr>
          <w:b/>
          <w:i/>
          <w:sz w:val="22"/>
          <w:szCs w:val="22"/>
        </w:rPr>
        <w:t>2</w:t>
      </w:r>
      <w:r w:rsidR="0074568C" w:rsidRPr="0074568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74568C" w:rsidRPr="0074568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FA71CE3" w:rsidR="00610E7E" w:rsidRPr="00FC2AE6" w:rsidRDefault="00522E9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C73C4">
        <w:rPr>
          <w:b/>
          <w:bCs/>
          <w:i/>
          <w:iCs/>
          <w:sz w:val="22"/>
          <w:szCs w:val="22"/>
        </w:rPr>
        <w:t>2</w:t>
      </w:r>
      <w:r w:rsidR="0008729C" w:rsidRPr="001C73C4">
        <w:rPr>
          <w:b/>
          <w:bCs/>
          <w:i/>
          <w:iCs/>
          <w:sz w:val="22"/>
          <w:szCs w:val="22"/>
        </w:rPr>
        <w:t>0</w:t>
      </w:r>
      <w:r w:rsidR="00180B91" w:rsidRPr="001C73C4">
        <w:rPr>
          <w:b/>
          <w:bCs/>
          <w:i/>
          <w:iCs/>
          <w:sz w:val="22"/>
          <w:szCs w:val="22"/>
        </w:rPr>
        <w:t>0 000 (</w:t>
      </w:r>
      <w:r w:rsidRPr="001C73C4">
        <w:rPr>
          <w:b/>
          <w:bCs/>
          <w:i/>
          <w:iCs/>
          <w:sz w:val="22"/>
          <w:szCs w:val="22"/>
        </w:rPr>
        <w:t>Двести</w:t>
      </w:r>
      <w:r w:rsidR="00F2195C" w:rsidRPr="005E3C39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1666C696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7D19D2" w:rsidRPr="007D19D2">
        <w:rPr>
          <w:b/>
          <w:bCs/>
          <w:i/>
          <w:iCs/>
          <w:color w:val="000000" w:themeColor="text1"/>
          <w:sz w:val="22"/>
          <w:szCs w:val="22"/>
        </w:rPr>
        <w:t>25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065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3"/>
        <w:gridCol w:w="1628"/>
        <w:gridCol w:w="181"/>
        <w:gridCol w:w="6018"/>
      </w:tblGrid>
      <w:tr w:rsidR="007D19D2" w:rsidRPr="007D19D2" w14:paraId="6554ED86" w14:textId="77777777" w:rsidTr="007D19D2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F804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val="en-US"/>
              </w:rPr>
            </w:pPr>
            <w:r w:rsidRPr="007D19D2"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val="en-US"/>
              </w:rPr>
              <w:t>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384DA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C590A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0B72A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ISIN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F9AB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EBA10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Биржа Референсного актива</w:t>
            </w:r>
          </w:p>
        </w:tc>
      </w:tr>
      <w:tr w:rsidR="007D19D2" w:rsidRPr="007D19D2" w14:paraId="6886AABF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154F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3331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FC12E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2EE95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Валюта актива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7A120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CF7AF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Источник цены (ссылка)</w:t>
            </w:r>
          </w:p>
        </w:tc>
      </w:tr>
      <w:tr w:rsidR="007D19D2" w:rsidRPr="007D19D2" w14:paraId="248C4AB5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147BE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FC24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F328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F0598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67DAC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00713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Тип значения на странице по ссылке</w:t>
            </w:r>
          </w:p>
        </w:tc>
      </w:tr>
      <w:tr w:rsidR="007D19D2" w:rsidRPr="007D19D2" w14:paraId="2716BBB1" w14:textId="77777777" w:rsidTr="007D19D2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1ABD53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D19D2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>1</w:t>
            </w:r>
            <w:r w:rsidRPr="007D19D2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DDC2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Публичное акционерное общество "Северсталь"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31364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BB3A7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RU0009046510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7DCB7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B4A85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7D19D2" w:rsidRPr="007D19D2" w14:paraId="13E8F496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B33F1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478B2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71DD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2DB3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60438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CAA2B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8"/>
                <w:szCs w:val="20"/>
                <w:u w:val="single"/>
              </w:rPr>
            </w:pPr>
            <w:r w:rsidRPr="007D19D2">
              <w:rPr>
                <w:rFonts w:ascii="Arial" w:eastAsia="Times New Roman" w:hAnsi="Arial" w:cs="Arial"/>
                <w:color w:val="0563C1"/>
                <w:sz w:val="18"/>
                <w:szCs w:val="20"/>
                <w:u w:val="single"/>
              </w:rPr>
              <w:t>https://www.moex.com/ru/issue.aspx?code=CHMF</w:t>
            </w:r>
          </w:p>
        </w:tc>
      </w:tr>
      <w:tr w:rsidR="007D19D2" w:rsidRPr="007D19D2" w14:paraId="368246FC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FBE479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8E8D2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8ABAA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E5767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BB834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655B1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7D19D2" w:rsidRPr="007D19D2" w14:paraId="39805170" w14:textId="77777777" w:rsidTr="007D19D2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09AA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D19D2">
              <w:rPr>
                <w:rFonts w:ascii="Arial" w:eastAsia="Times New Roman" w:hAnsi="Arial" w:cs="Arial"/>
                <w:sz w:val="20"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1899D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Vale SA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9111F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297DF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US91912E1055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91608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F30CF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D19D2" w:rsidRPr="007D19D2" w14:paraId="2AD05CC4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1002B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03A3A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69D49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CC7AB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Доллар США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4D645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CE529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18"/>
                <w:szCs w:val="20"/>
                <w:u w:val="single"/>
              </w:rPr>
            </w:pPr>
            <w:r w:rsidRPr="007D19D2">
              <w:rPr>
                <w:rFonts w:ascii="Arial" w:eastAsia="Times New Roman" w:hAnsi="Arial" w:cs="Arial"/>
                <w:color w:val="0563C1"/>
                <w:sz w:val="18"/>
                <w:szCs w:val="20"/>
                <w:u w:val="single"/>
              </w:rPr>
              <w:t>https://www.nasdaq.com/market-activity/stocks/vale/historical</w:t>
            </w:r>
          </w:p>
        </w:tc>
      </w:tr>
      <w:tr w:rsidR="007D19D2" w:rsidRPr="007D19D2" w14:paraId="4D8C129D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83A33F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1A6BC5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5542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987F2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148D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38E70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Значение Close/Last</w:t>
            </w:r>
          </w:p>
        </w:tc>
      </w:tr>
      <w:tr w:rsidR="007D19D2" w:rsidRPr="007D19D2" w14:paraId="0166AE65" w14:textId="77777777" w:rsidTr="007D19D2">
        <w:trPr>
          <w:trHeight w:val="5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E628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D19D2">
              <w:rPr>
                <w:rFonts w:ascii="Arial" w:eastAsia="Times New Roman" w:hAnsi="Arial" w:cs="Arial"/>
                <w:sz w:val="20"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44D32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Полиметалл</w:t>
            </w: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Интернэшнл</w:t>
            </w: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  <w:t xml:space="preserve"> </w:t>
            </w: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плс</w:t>
            </w: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  <w:t xml:space="preserve"> (Polymetal International plc)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247A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31534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JE00B6T5S470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12F54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16F46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7D19D2" w:rsidRPr="007D19D2" w14:paraId="6BE64E4A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03A0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EE09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8BD90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D2589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5EC02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BF081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noProof/>
                <w:color w:val="0563C1"/>
                <w:szCs w:val="24"/>
                <w:u w:val="single"/>
              </w:rPr>
            </w:pPr>
            <w:r w:rsidRPr="007D19D2">
              <w:rPr>
                <w:rFonts w:ascii="Arial" w:eastAsia="Times New Roman" w:hAnsi="Arial" w:cs="Arial"/>
                <w:noProof/>
                <w:color w:val="0563C1"/>
                <w:sz w:val="18"/>
                <w:szCs w:val="20"/>
                <w:u w:val="single"/>
              </w:rPr>
              <w:t>https://www.moex.com/ru/issue.aspx?code=POLY</w:t>
            </w:r>
          </w:p>
        </w:tc>
      </w:tr>
      <w:tr w:rsidR="007D19D2" w:rsidRPr="007D19D2" w14:paraId="14F9FA7E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566D62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3638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FF8A9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317AE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02F1A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BB776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  <w:tr w:rsidR="007D19D2" w:rsidRPr="007D19D2" w14:paraId="00922096" w14:textId="77777777" w:rsidTr="007D19D2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50B7855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7D19D2">
              <w:rPr>
                <w:rFonts w:ascii="Arial" w:eastAsia="Times New Roman" w:hAnsi="Arial" w:cs="Arial"/>
                <w:sz w:val="20"/>
                <w:szCs w:val="24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43670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92D33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a.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7AE14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RU0007288411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2A15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1.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21FF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Московская биржа</w:t>
            </w:r>
          </w:p>
        </w:tc>
      </w:tr>
      <w:tr w:rsidR="007D19D2" w:rsidRPr="007D19D2" w14:paraId="4A444ACD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D205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DADC8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0BE31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b.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D1193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Российский рубль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821F4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2. 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302E" w14:textId="77777777" w:rsidR="007D19D2" w:rsidRPr="007D19D2" w:rsidRDefault="00654F34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hyperlink r:id="rId8" w:history="1">
              <w:r w:rsidR="007D19D2" w:rsidRPr="007D19D2">
                <w:rPr>
                  <w:rFonts w:ascii="Arial" w:eastAsia="Times New Roman" w:hAnsi="Arial" w:cs="Arial"/>
                  <w:color w:val="0563C1"/>
                  <w:sz w:val="18"/>
                  <w:szCs w:val="20"/>
                  <w:u w:val="single"/>
                </w:rPr>
                <w:t>https://www.moex.com/ru/issue.aspx?code=GMKN</w:t>
              </w:r>
            </w:hyperlink>
          </w:p>
        </w:tc>
      </w:tr>
      <w:tr w:rsidR="007D19D2" w:rsidRPr="007D19D2" w14:paraId="7B5D9966" w14:textId="77777777" w:rsidTr="007D19D2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66F24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9BA8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653C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A632C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B678D" w14:textId="77777777" w:rsidR="007D19D2" w:rsidRPr="007D19D2" w:rsidRDefault="007D19D2" w:rsidP="007D19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3. 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5A85" w14:textId="77777777" w:rsidR="007D19D2" w:rsidRPr="007D19D2" w:rsidRDefault="007D19D2" w:rsidP="007D1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7D19D2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Значение "Цена закрытия"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C8A1E" w14:textId="77777777" w:rsidR="00654F34" w:rsidRDefault="00654F34" w:rsidP="0053664B">
      <w:pPr>
        <w:spacing w:after="0" w:line="240" w:lineRule="auto"/>
      </w:pPr>
      <w:r>
        <w:separator/>
      </w:r>
    </w:p>
  </w:endnote>
  <w:endnote w:type="continuationSeparator" w:id="0">
    <w:p w14:paraId="2D2AAC31" w14:textId="77777777" w:rsidR="00654F34" w:rsidRDefault="00654F3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0BAB7FB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C17E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95505" w14:textId="77777777" w:rsidR="00654F34" w:rsidRDefault="00654F34" w:rsidP="0053664B">
      <w:pPr>
        <w:spacing w:after="0" w:line="240" w:lineRule="auto"/>
      </w:pPr>
      <w:r>
        <w:separator/>
      </w:r>
    </w:p>
  </w:footnote>
  <w:footnote w:type="continuationSeparator" w:id="0">
    <w:p w14:paraId="37961DD7" w14:textId="77777777" w:rsidR="00654F34" w:rsidRDefault="00654F3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4F34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17E9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C05AB08-7F7C-4C2A-A450-7AC49CA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GMKN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371F-6242-4DE7-8161-31883272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5010</Words>
  <Characters>28562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2020-08-24T12:19:00Z</dcterms:created>
  <dcterms:modified xsi:type="dcterms:W3CDTF">2020-08-24T12:19:00Z</dcterms:modified>
</cp:coreProperties>
</file>