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4C5D70" w:rsidR="0074568C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9EDA60B" w:rsidR="0074568C" w:rsidRPr="007D19D2" w:rsidRDefault="00A07E6F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D5E6EF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07E6F" w:rsidRPr="00A07E6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43FAC" w:rsidRPr="00543FA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543FA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543FAC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43FAC" w:rsidRPr="00543FAC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7FEB8E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color w:val="000000"/>
        </w:rPr>
        <w:t>2</w:t>
      </w:r>
      <w:r w:rsidR="00A07E6F" w:rsidRPr="00A07E6F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DBBC5F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593C66" w:rsidRPr="00593C66">
        <w:rPr>
          <w:b/>
          <w:i/>
          <w:sz w:val="22"/>
          <w:szCs w:val="22"/>
        </w:rPr>
        <w:t>2</w:t>
      </w:r>
      <w:r w:rsidR="00A07E6F" w:rsidRPr="00A07E6F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93C66" w:rsidRPr="00593C66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593C66" w:rsidRPr="00593C66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F3B6680" w:rsidR="00610E7E" w:rsidRPr="00FC2AE6" w:rsidRDefault="00543F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43FAC">
        <w:rPr>
          <w:b/>
          <w:bCs/>
          <w:i/>
          <w:iCs/>
          <w:sz w:val="22"/>
          <w:szCs w:val="22"/>
          <w:lang w:val="en-US"/>
        </w:rPr>
        <w:t>2</w:t>
      </w:r>
      <w:r w:rsidR="0008729C" w:rsidRPr="00543FAC">
        <w:rPr>
          <w:b/>
          <w:bCs/>
          <w:i/>
          <w:iCs/>
          <w:sz w:val="22"/>
          <w:szCs w:val="22"/>
        </w:rPr>
        <w:t>0</w:t>
      </w:r>
      <w:r w:rsidR="00180B91" w:rsidRPr="00543FAC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9627BC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93C66" w:rsidRPr="00593C66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07E6F" w:rsidRPr="00A07E6F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593C66" w:rsidRPr="00593C66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A69A088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314043CB" w14:textId="77777777" w:rsidR="00593C66" w:rsidRPr="00593C66" w:rsidRDefault="00593C66" w:rsidP="00593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</w:t>
      </w:r>
    </w:p>
    <w:p w14:paraId="09759A0B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1,5%;</w:t>
      </w:r>
    </w:p>
    <w:p w14:paraId="7FA33C8F" w14:textId="77777777" w:rsidR="00593C66" w:rsidRPr="00593C66" w:rsidRDefault="00593C66" w:rsidP="00593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5</w:t>
      </w:r>
    </w:p>
    <w:p w14:paraId="34572C5E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0F4DD3B7" w14:textId="77777777" w:rsidR="00593C66" w:rsidRPr="00593C66" w:rsidRDefault="00593C66" w:rsidP="00593C6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37BFC47C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593C66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2E19AF1" w14:textId="323499F4" w:rsidR="00593C66" w:rsidRPr="00593C66" w:rsidRDefault="00593C66" w:rsidP="00593C6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593C66">
        <w:rPr>
          <w:rFonts w:ascii="Times New Roman" w:eastAsia="Times New Roman" w:hAnsi="Times New Roman"/>
          <w:szCs w:val="20"/>
        </w:rPr>
        <w:t xml:space="preserve"> –</w:t>
      </w:r>
      <w:r w:rsidRPr="00593C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593C66">
        <w:rPr>
          <w:rFonts w:ascii="Times New Roman" w:eastAsia="Times New Roman" w:hAnsi="Times New Roman"/>
          <w:szCs w:val="20"/>
        </w:rPr>
        <w:t>величина</w:t>
      </w:r>
      <w:r w:rsidRPr="00593C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593C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401FDD9" w14:textId="77777777" w:rsidR="00593C66" w:rsidRPr="00593C66" w:rsidRDefault="00593C66" w:rsidP="00593C6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593C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593C66">
        <w:rPr>
          <w:rFonts w:ascii="Times New Roman" w:eastAsia="Times New Roman" w:hAnsi="Times New Roman"/>
          <w:b/>
          <w:i/>
          <w:szCs w:val="20"/>
        </w:rPr>
        <w:t>j</w:t>
      </w:r>
      <w:r w:rsidRPr="00593C66">
        <w:rPr>
          <w:rFonts w:ascii="Times New Roman" w:eastAsia="Times New Roman" w:hAnsi="Times New Roman"/>
          <w:b/>
          <w:szCs w:val="20"/>
        </w:rPr>
        <w:t xml:space="preserve"> </w:t>
      </w:r>
      <w:r w:rsidRPr="00593C66">
        <w:rPr>
          <w:rFonts w:ascii="Times New Roman" w:eastAsia="Times New Roman" w:hAnsi="Times New Roman"/>
          <w:szCs w:val="20"/>
        </w:rPr>
        <w:t xml:space="preserve">= 1, 2, 3, 4, 5, 6); </w:t>
      </w:r>
    </w:p>
    <w:p w14:paraId="4B742FB2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593C66">
        <w:rPr>
          <w:rFonts w:ascii="Times New Roman" w:eastAsia="Times New Roman" w:hAnsi="Times New Roman"/>
          <w:color w:val="000000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43568C8A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 – цена закрытия Референсного актива</w:t>
      </w:r>
      <w:r w:rsidRPr="00593C66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593C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593C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6A5A71E8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3C66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3C66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2AD0C113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3C66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рублю, действующий по состоянию на Дату определения дополнительного дохода (</w:t>
      </w:r>
      <w:r w:rsidRPr="00593C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i/>
          <w:szCs w:val="20"/>
        </w:rPr>
        <w:t>)</w:t>
      </w:r>
      <w:r w:rsidRPr="00593C66">
        <w:rPr>
          <w:rFonts w:ascii="Times New Roman" w:eastAsia="Times New Roman" w:hAnsi="Times New Roman"/>
          <w:szCs w:val="20"/>
        </w:rPr>
        <w:t>;</w:t>
      </w:r>
    </w:p>
    <w:p w14:paraId="258BD00B" w14:textId="77777777" w:rsidR="00593C66" w:rsidRPr="00593C66" w:rsidRDefault="00593C66" w:rsidP="00593C66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EURRUB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3C66">
        <w:rPr>
          <w:rFonts w:ascii="Times New Roman" w:eastAsia="Times New Roman" w:hAnsi="Times New Roman"/>
          <w:szCs w:val="20"/>
        </w:rPr>
        <w:t>установленный и опубликованный Банком России курс евро к рублю, действующий по состоянию на Дату начала размещения Биржевых облигаций;</w:t>
      </w:r>
    </w:p>
    <w:p w14:paraId="7FB8FD2D" w14:textId="77777777" w:rsidR="00593C66" w:rsidRPr="00593C66" w:rsidRDefault="00593C66" w:rsidP="00593C66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593C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 Референсным активом на соответствующей Биржей Референсного актива.</w:t>
      </w:r>
    </w:p>
    <w:p w14:paraId="7AFFFB32" w14:textId="6A466420" w:rsidR="00593C66" w:rsidRPr="00593C66" w:rsidRDefault="00593C66" w:rsidP="00593C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выплаты дополнительного дохода. </w:t>
      </w:r>
      <w:r w:rsidRPr="00593C66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954983D" w14:textId="77777777" w:rsidR="00593C66" w:rsidRPr="00593C66" w:rsidRDefault="00593C66" w:rsidP="00593C6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"/>
        <w:tblW w:w="9923" w:type="dxa"/>
        <w:tblInd w:w="108" w:type="dxa"/>
        <w:tblLook w:val="04A0" w:firstRow="1" w:lastRow="0" w:firstColumn="1" w:lastColumn="0" w:noHBand="0" w:noVBand="1"/>
      </w:tblPr>
      <w:tblGrid>
        <w:gridCol w:w="2381"/>
        <w:gridCol w:w="7542"/>
      </w:tblGrid>
      <w:tr w:rsidR="00593C66" w:rsidRPr="00543FAC" w14:paraId="04F61F27" w14:textId="77777777" w:rsidTr="00593C66">
        <w:tc>
          <w:tcPr>
            <w:tcW w:w="2381" w:type="dxa"/>
          </w:tcPr>
          <w:p w14:paraId="4D61255D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7542" w:type="dxa"/>
          </w:tcPr>
          <w:p w14:paraId="22E34C62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iShares Core Euro Stoxx 50 UCITS ETF</w:t>
            </w:r>
          </w:p>
        </w:tc>
      </w:tr>
      <w:tr w:rsidR="00593C66" w:rsidRPr="00593C66" w14:paraId="4F54EDD9" w14:textId="77777777" w:rsidTr="00593C66">
        <w:tc>
          <w:tcPr>
            <w:tcW w:w="2381" w:type="dxa"/>
          </w:tcPr>
          <w:p w14:paraId="7115BC95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7542" w:type="dxa"/>
          </w:tcPr>
          <w:p w14:paraId="69F0A0C7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333333"/>
                <w:szCs w:val="20"/>
                <w:shd w:val="clear" w:color="auto" w:fill="FFFFFF"/>
              </w:rPr>
              <w:t>DE0005933956</w:t>
            </w:r>
          </w:p>
        </w:tc>
      </w:tr>
      <w:tr w:rsidR="00593C66" w:rsidRPr="00593C66" w14:paraId="467AC382" w14:textId="77777777" w:rsidTr="00593C66">
        <w:tc>
          <w:tcPr>
            <w:tcW w:w="2381" w:type="dxa"/>
          </w:tcPr>
          <w:p w14:paraId="08358BD5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Валюта</w:t>
            </w:r>
          </w:p>
        </w:tc>
        <w:tc>
          <w:tcPr>
            <w:tcW w:w="7542" w:type="dxa"/>
          </w:tcPr>
          <w:p w14:paraId="0942105F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Евро</w:t>
            </w:r>
          </w:p>
        </w:tc>
      </w:tr>
      <w:tr w:rsidR="00593C66" w:rsidRPr="00593C66" w14:paraId="511A5D12" w14:textId="77777777" w:rsidTr="00593C66">
        <w:tc>
          <w:tcPr>
            <w:tcW w:w="2381" w:type="dxa"/>
          </w:tcPr>
          <w:p w14:paraId="6EAB3880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Биржа</w:t>
            </w:r>
          </w:p>
        </w:tc>
        <w:tc>
          <w:tcPr>
            <w:tcW w:w="7542" w:type="dxa"/>
          </w:tcPr>
          <w:p w14:paraId="39A38461" w14:textId="77777777" w:rsidR="00593C66" w:rsidRPr="00593C66" w:rsidRDefault="00593C66" w:rsidP="00593C66">
            <w:pPr>
              <w:spacing w:after="0" w:line="240" w:lineRule="auto"/>
              <w:ind w:right="127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Франкфуртская биржа (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Deutsche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Boerse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Xetra</w:t>
            </w: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)</w:t>
            </w:r>
          </w:p>
        </w:tc>
      </w:tr>
      <w:tr w:rsidR="00593C66" w:rsidRPr="00543FAC" w14:paraId="3D0D9F4A" w14:textId="77777777" w:rsidTr="00593C66">
        <w:tc>
          <w:tcPr>
            <w:tcW w:w="2381" w:type="dxa"/>
          </w:tcPr>
          <w:p w14:paraId="7B716197" w14:textId="77777777" w:rsidR="00593C66" w:rsidRPr="00593C66" w:rsidRDefault="00593C66" w:rsidP="00593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7542" w:type="dxa"/>
          </w:tcPr>
          <w:p w14:paraId="47B9C6D4" w14:textId="77777777" w:rsidR="00593C66" w:rsidRPr="00593C66" w:rsidRDefault="009B2ACE" w:rsidP="00593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hyperlink r:id="rId8" w:history="1">
              <w:r w:rsidR="00593C66" w:rsidRPr="00593C66">
                <w:rPr>
                  <w:rFonts w:ascii="Times New Roman" w:eastAsia="Times New Roman" w:hAnsi="Times New Roman" w:cs="Times New Roman"/>
                  <w:color w:val="0563C1"/>
                  <w:szCs w:val="20"/>
                  <w:u w:val="single"/>
                  <w:lang w:val="en-US"/>
                </w:rPr>
                <w:t>https://www.boerse-frankfurt.de/en/etf/ishares-core-euro-stoxx-50-ucits-etf-de</w:t>
              </w:r>
            </w:hyperlink>
            <w:r w:rsidR="00593C66" w:rsidRPr="00593C66">
              <w:rPr>
                <w:rFonts w:ascii="Times New Roman" w:eastAsia="Times New Roman" w:hAnsi="Times New Roman" w:cs="Times New Roman"/>
                <w:szCs w:val="20"/>
                <w:lang w:val="en-US"/>
              </w:rPr>
              <w:t xml:space="preserve"> 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Страница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 xml:space="preserve"> Xetra, Price History, 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значение</w:t>
            </w:r>
            <w:r w:rsidR="00593C66" w:rsidRPr="00593C66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 xml:space="preserve"> Close</w:t>
            </w:r>
          </w:p>
        </w:tc>
      </w:tr>
    </w:tbl>
    <w:p w14:paraId="27EAC81D" w14:textId="77777777" w:rsidR="005E58F3" w:rsidRDefault="005E58F3" w:rsidP="00593C6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Cs w:val="20"/>
          <w:lang w:val="en-US"/>
        </w:rPr>
      </w:pPr>
    </w:p>
    <w:p w14:paraId="2702F2BE" w14:textId="77777777" w:rsidR="00A07E6F" w:rsidRDefault="00A07E6F" w:rsidP="00593C6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Cs w:val="20"/>
          <w:lang w:val="en-US"/>
        </w:rPr>
      </w:pPr>
    </w:p>
    <w:p w14:paraId="37273957" w14:textId="77777777" w:rsidR="00A07E6F" w:rsidRPr="00593C66" w:rsidRDefault="00A07E6F" w:rsidP="00593C6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Cs w:val="20"/>
          <w:lang w:val="en-US"/>
        </w:rPr>
      </w:pPr>
    </w:p>
    <w:p w14:paraId="5B7F5F43" w14:textId="77777777" w:rsidR="00593C66" w:rsidRPr="00593C66" w:rsidRDefault="00593C66" w:rsidP="00593C6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593C66">
        <w:rPr>
          <w:rFonts w:ascii="Times New Roman" w:eastAsia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0767ABC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593C66">
        <w:rPr>
          <w:rFonts w:ascii="Times New Roman" w:eastAsia="Times New Roman" w:hAnsi="Times New Roman"/>
          <w:i/>
          <w:szCs w:val="20"/>
        </w:rPr>
        <w:t xml:space="preserve"> 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593C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C4F5FA2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593C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3C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2C147B75" w14:textId="77777777" w:rsidR="00593C66" w:rsidRPr="00593C66" w:rsidRDefault="00593C66" w:rsidP="00593C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593C66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593C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8D0F46C" w:rsidR="00C64711" w:rsidRPr="00593C66" w:rsidRDefault="00593C66" w:rsidP="00593C6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593C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C64711" w:rsidRPr="00593C66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1DE79" w14:textId="77777777" w:rsidR="009B2ACE" w:rsidRDefault="009B2ACE" w:rsidP="0053664B">
      <w:pPr>
        <w:spacing w:after="0" w:line="240" w:lineRule="auto"/>
      </w:pPr>
      <w:r>
        <w:separator/>
      </w:r>
    </w:p>
  </w:endnote>
  <w:endnote w:type="continuationSeparator" w:id="0">
    <w:p w14:paraId="4926FED7" w14:textId="77777777" w:rsidR="009B2ACE" w:rsidRDefault="009B2AC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55FDF6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F369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D769D" w14:textId="77777777" w:rsidR="009B2ACE" w:rsidRDefault="009B2ACE" w:rsidP="0053664B">
      <w:pPr>
        <w:spacing w:after="0" w:line="240" w:lineRule="auto"/>
      </w:pPr>
      <w:r>
        <w:separator/>
      </w:r>
    </w:p>
  </w:footnote>
  <w:footnote w:type="continuationSeparator" w:id="0">
    <w:p w14:paraId="643A8DD4" w14:textId="77777777" w:rsidR="009B2ACE" w:rsidRDefault="009B2AC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3FAC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2ACE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07E6F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3695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FA03298-1A4E-436A-BC43-8E34AA1D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se-frankfurt.de/en/etf/ishares-core-euro-stoxx-50-ucits-etf-d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DAD4-EB1A-4FA1-A81E-57C2EEFD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4810</Words>
  <Characters>27423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2020-09-07T14:28:00Z</dcterms:created>
  <dcterms:modified xsi:type="dcterms:W3CDTF">2020-09-07T14:28:00Z</dcterms:modified>
</cp:coreProperties>
</file>