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F9EA8EF" w:rsidR="00996E29" w:rsidRPr="004967FC" w:rsidRDefault="001C01E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946647E" w:rsidR="00996E29" w:rsidRPr="001A7ABD" w:rsidRDefault="000C7F9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A0EDDB2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C7F92" w:rsidRPr="000C7F92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543E7" w:rsidRPr="000543E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0543E7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543E7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543E7" w:rsidRPr="000543E7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A56291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color w:val="000000"/>
        </w:rPr>
        <w:t>3</w:t>
      </w:r>
      <w:r w:rsidR="000C7F92" w:rsidRPr="000C7F92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43AAFC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C01EB" w:rsidRPr="001C01EB">
        <w:rPr>
          <w:b/>
          <w:i/>
          <w:sz w:val="22"/>
          <w:szCs w:val="22"/>
        </w:rPr>
        <w:t>3</w:t>
      </w:r>
      <w:r w:rsidR="000C7F92" w:rsidRPr="000C7F9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</w:t>
      </w:r>
      <w:r w:rsidR="001C01EB" w:rsidRPr="001C01EB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</w:t>
      </w:r>
      <w:r w:rsidR="001C01EB" w:rsidRPr="001C01E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192B022" w:rsidR="00610E7E" w:rsidRPr="00FC2AE6" w:rsidRDefault="000543E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543E7">
        <w:rPr>
          <w:b/>
          <w:bCs/>
          <w:i/>
          <w:iCs/>
          <w:sz w:val="22"/>
          <w:szCs w:val="22"/>
          <w:lang w:val="en-US"/>
        </w:rPr>
        <w:t>5</w:t>
      </w:r>
      <w:r w:rsidR="0008729C" w:rsidRPr="000543E7">
        <w:rPr>
          <w:b/>
          <w:bCs/>
          <w:i/>
          <w:iCs/>
          <w:sz w:val="22"/>
          <w:szCs w:val="22"/>
        </w:rPr>
        <w:t>0</w:t>
      </w:r>
      <w:r w:rsidR="00180B91" w:rsidRPr="000543E7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79D814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C01EB" w:rsidRPr="001C01EB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B73C3" w:rsidRPr="001C01EB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C01EB" w:rsidRPr="000C7F9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C01EB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C01EB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C01EB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7F8A55B" w14:textId="77777777" w:rsidR="000C7F92" w:rsidRPr="000C7F92" w:rsidRDefault="000C7F92" w:rsidP="000C7F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08EC4E95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6C8F5848" w14:textId="77777777" w:rsidR="000C7F92" w:rsidRPr="000C7F92" w:rsidRDefault="000C7F92" w:rsidP="000C7F92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0C7F92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523ABE29" w14:textId="2CEB6980" w:rsidR="000C7F92" w:rsidRPr="000C7F92" w:rsidRDefault="000C7F92" w:rsidP="000C7F92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0C7F92">
        <w:rPr>
          <w:rFonts w:ascii="Times New Roman" w:eastAsia="Times New Roman" w:hAnsi="Times New Roman"/>
          <w:szCs w:val="20"/>
        </w:rPr>
        <w:t xml:space="preserve"> –</w:t>
      </w:r>
      <w:r w:rsidRPr="000C7F92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0C7F92">
        <w:rPr>
          <w:rFonts w:ascii="Times New Roman" w:eastAsia="Times New Roman" w:hAnsi="Times New Roman"/>
          <w:szCs w:val="20"/>
        </w:rPr>
        <w:t>величина</w:t>
      </w:r>
      <w:r w:rsidRPr="000C7F92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0C7F92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C7F92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9E1C69" w14:textId="77777777" w:rsidR="000C7F92" w:rsidRPr="000C7F92" w:rsidRDefault="000C7F92" w:rsidP="000C7F92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0C7F92">
        <w:rPr>
          <w:rFonts w:ascii="Times New Roman" w:eastAsia="Times New Roman" w:hAnsi="Times New Roman"/>
          <w:b/>
          <w:i/>
          <w:szCs w:val="20"/>
        </w:rPr>
        <w:t>(</w:t>
      </w: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/>
          <w:i/>
          <w:szCs w:val="20"/>
        </w:rPr>
        <w:t>)</w:t>
      </w:r>
      <w:r w:rsidRPr="000C7F92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0C7F92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76B4C919" w14:textId="295D2B5A" w:rsidR="000C7F92" w:rsidRPr="000C7F92" w:rsidRDefault="000C7F92" w:rsidP="000C7F9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0C7F92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0C7F92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i/>
          <w:szCs w:val="24"/>
        </w:rPr>
        <w:t>)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Cs/>
          <w:iCs/>
          <w:szCs w:val="24"/>
        </w:rPr>
        <w:t>) принима</w:t>
      </w:r>
      <w:r>
        <w:rPr>
          <w:rFonts w:ascii="Times New Roman" w:eastAsia="Times New Roman" w:hAnsi="Times New Roman"/>
          <w:bCs/>
          <w:iCs/>
          <w:szCs w:val="24"/>
        </w:rPr>
        <w:t xml:space="preserve">ет значение, большее или равное </w:t>
      </w:r>
      <w:r w:rsidRPr="000C7F92">
        <w:rPr>
          <w:rFonts w:ascii="Times New Roman" w:eastAsia="Times New Roman" w:hAnsi="Times New Roman"/>
          <w:bCs/>
          <w:iCs/>
          <w:szCs w:val="24"/>
        </w:rPr>
        <w:t>1.15</w:t>
      </w:r>
      <w:r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Cs/>
          <w:iCs/>
          <w:szCs w:val="24"/>
        </w:rPr>
        <w:t>(0);</w:t>
      </w:r>
    </w:p>
    <w:p w14:paraId="1093C5F0" w14:textId="77777777" w:rsidR="000C7F92" w:rsidRPr="000C7F92" w:rsidRDefault="000C7F92" w:rsidP="000C7F9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0C7F92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101D336D" w14:textId="77777777" w:rsidR="000C7F92" w:rsidRPr="000C7F92" w:rsidRDefault="000C7F92" w:rsidP="000C7F9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0C7F92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0C7F92">
        <w:rPr>
          <w:rFonts w:ascii="Times New Roman" w:eastAsia="Times New Roman" w:hAnsi="Times New Roman"/>
          <w:i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0C7F92">
        <w:rPr>
          <w:rFonts w:ascii="Times New Roman" w:eastAsia="Times New Roman" w:hAnsi="Times New Roman"/>
          <w:i/>
          <w:szCs w:val="24"/>
        </w:rPr>
        <w:t>(</w:t>
      </w:r>
      <w:r w:rsidRPr="000C7F92">
        <w:rPr>
          <w:rFonts w:ascii="Times New Roman" w:eastAsia="Times New Roman" w:hAnsi="Times New Roman"/>
          <w:i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szCs w:val="24"/>
        </w:rPr>
        <w:t>)</w:t>
      </w:r>
      <w:r w:rsidRPr="000C7F92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B4A88A8" w14:textId="77777777" w:rsidR="000C7F92" w:rsidRPr="000C7F92" w:rsidRDefault="000C7F92" w:rsidP="000C7F9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0C7F92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0C7F92">
        <w:rPr>
          <w:rFonts w:ascii="Times New Roman" w:eastAsia="Times New Roman" w:hAnsi="Times New Roman"/>
          <w:b/>
          <w:i/>
          <w:szCs w:val="24"/>
        </w:rPr>
        <w:t>j</w:t>
      </w:r>
      <w:r w:rsidRPr="000C7F92">
        <w:rPr>
          <w:rFonts w:ascii="Times New Roman" w:eastAsia="Times New Roman" w:hAnsi="Times New Roman"/>
          <w:b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 xml:space="preserve">= 1); </w:t>
      </w:r>
    </w:p>
    <w:p w14:paraId="05696762" w14:textId="77777777" w:rsidR="000C7F92" w:rsidRPr="000C7F92" w:rsidRDefault="000C7F92" w:rsidP="000C7F9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37AFBF9E" w14:textId="77777777" w:rsidR="000C7F92" w:rsidRPr="000C7F92" w:rsidRDefault="000C7F92" w:rsidP="000C7F92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0C7F92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0C7F92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0C7F92">
        <w:rPr>
          <w:rFonts w:ascii="Times New Roman" w:eastAsia="Times New Roman" w:hAnsi="Times New Roman"/>
          <w:bCs/>
          <w:iCs/>
          <w:szCs w:val="24"/>
        </w:rPr>
        <w:t>.</w:t>
      </w:r>
    </w:p>
    <w:p w14:paraId="6C56DFE5" w14:textId="77777777" w:rsidR="000C7F92" w:rsidRPr="000C7F92" w:rsidRDefault="000C7F92" w:rsidP="000C7F92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0C7F92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0C7F92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1004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987"/>
        <w:gridCol w:w="181"/>
        <w:gridCol w:w="1701"/>
        <w:gridCol w:w="181"/>
        <w:gridCol w:w="4701"/>
      </w:tblGrid>
      <w:tr w:rsidR="000C7F92" w:rsidRPr="000C7F92" w14:paraId="7E795828" w14:textId="77777777" w:rsidTr="000C7F92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49AD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0C7F9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6ADC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3AD0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FC94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8A64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2F0B6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0C7F92" w:rsidRPr="000C7F92" w14:paraId="0A9BB47A" w14:textId="77777777" w:rsidTr="000C7F9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FD8E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F059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F7646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4382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912B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0E847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0C7F92" w:rsidRPr="000C7F92" w14:paraId="68AEB24D" w14:textId="77777777" w:rsidTr="000C7F9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76724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9A1C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E955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2E75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0A68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11B1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0C7F92" w:rsidRPr="000C7F92" w14:paraId="0D43A760" w14:textId="77777777" w:rsidTr="000C7F92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2FAF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FBC8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en-US"/>
              </w:rPr>
              <w:t>Публичное акционерное общество "Горно-металлургическая компания "</w:t>
            </w:r>
            <w:r w:rsidRPr="000C7F92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en-US"/>
              </w:rPr>
              <w:t>Норильский никель"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EBC5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9C50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RU0007288411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884C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A046" w14:textId="77777777" w:rsidR="000C7F92" w:rsidRPr="000C7F92" w:rsidRDefault="000C7F92" w:rsidP="000C7F92">
            <w:pPr>
              <w:spacing w:before="6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Московская биржа</w:t>
            </w:r>
          </w:p>
        </w:tc>
      </w:tr>
      <w:tr w:rsidR="000C7F92" w:rsidRPr="000C7F92" w14:paraId="2D77FA0F" w14:textId="77777777" w:rsidTr="000C7F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0C8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90B9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0405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DDC34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Российский рубль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8D0F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4DF2" w14:textId="77777777" w:rsidR="000C7F92" w:rsidRPr="000C7F92" w:rsidRDefault="00852227" w:rsidP="000C7F92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0C7F92" w:rsidRPr="000C7F92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https://www.moex.com/ru/issue.aspx?code=GMKN</w:t>
              </w:r>
            </w:hyperlink>
          </w:p>
        </w:tc>
      </w:tr>
      <w:tr w:rsidR="000C7F92" w:rsidRPr="000C7F92" w14:paraId="316FA35F" w14:textId="77777777" w:rsidTr="000C7F92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CD50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7B48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77DC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A12C1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E5C2B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A062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22DB5033" w14:textId="77777777" w:rsidR="000C7F92" w:rsidRPr="000C7F92" w:rsidRDefault="000C7F92" w:rsidP="000C7F92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2A08274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0C7F92">
        <w:rPr>
          <w:rFonts w:ascii="Times New Roman" w:eastAsia="Times New Roman" w:hAnsi="Times New Roman"/>
          <w:i/>
          <w:szCs w:val="20"/>
        </w:rPr>
        <w:t xml:space="preserve"> 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C7F9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C7F92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2B97261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C7F9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F65F610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B905782" w14:textId="77777777" w:rsidR="000C7F92" w:rsidRPr="000543E7" w:rsidRDefault="000C7F92" w:rsidP="000C7F92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Cs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</w:t>
      </w:r>
      <w:r w:rsidRPr="000C7F92">
        <w:rPr>
          <w:rFonts w:ascii="Times New Roman" w:eastAsia="Times New Roman" w:hAnsi="Times New Roman"/>
          <w:bCs/>
          <w:iCs/>
          <w:szCs w:val="20"/>
        </w:rPr>
        <w:lastRenderedPageBreak/>
        <w:t>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4B7A0FAF" w:rsidR="00C64711" w:rsidRPr="00CF2E82" w:rsidRDefault="00C64711" w:rsidP="000C7F9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D63D522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0C7F92" w:rsidRPr="000C7F92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0C7F92" w:rsidRPr="000C7F92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9A1D8" w14:textId="77777777" w:rsidR="00852227" w:rsidRDefault="00852227" w:rsidP="0053664B">
      <w:pPr>
        <w:spacing w:after="0" w:line="240" w:lineRule="auto"/>
      </w:pPr>
      <w:r>
        <w:separator/>
      </w:r>
    </w:p>
  </w:endnote>
  <w:endnote w:type="continuationSeparator" w:id="0">
    <w:p w14:paraId="6D9041F1" w14:textId="77777777" w:rsidR="00852227" w:rsidRDefault="0085222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F4C0CA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B435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16C9" w14:textId="77777777" w:rsidR="00852227" w:rsidRDefault="00852227" w:rsidP="0053664B">
      <w:pPr>
        <w:spacing w:after="0" w:line="240" w:lineRule="auto"/>
      </w:pPr>
      <w:r>
        <w:separator/>
      </w:r>
    </w:p>
  </w:footnote>
  <w:footnote w:type="continuationSeparator" w:id="0">
    <w:p w14:paraId="376F320E" w14:textId="77777777" w:rsidR="00852227" w:rsidRDefault="0085222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543E7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C7F92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1EB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354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2227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05A1CC8-DF78-40CA-876A-0400A62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MKN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254B-C884-40D3-8E8B-3C6C4614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4825</Words>
  <Characters>27503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2020-11-02T13:39:00Z</dcterms:created>
  <dcterms:modified xsi:type="dcterms:W3CDTF">2020-11-02T13:39:00Z</dcterms:modified>
</cp:coreProperties>
</file>