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F9EA8EF" w:rsidR="00996E29" w:rsidRPr="004967FC" w:rsidRDefault="001C01E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56CB7EB" w:rsidR="00996E29" w:rsidRPr="001A7ABD" w:rsidRDefault="00421CF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F9B057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421CFA" w:rsidRPr="00421CFA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C7F92" w:rsidRPr="00051E2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51E2D" w:rsidRPr="00051E2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051E2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C7F92" w:rsidRPr="00051E2D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051E2D" w:rsidRPr="00051E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FC482F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color w:val="000000"/>
        </w:rPr>
        <w:t>3</w:t>
      </w:r>
      <w:r w:rsidR="00421CFA" w:rsidRPr="00421CFA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A90C48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C01EB" w:rsidRPr="001C01EB">
        <w:rPr>
          <w:b/>
          <w:i/>
          <w:sz w:val="22"/>
          <w:szCs w:val="22"/>
        </w:rPr>
        <w:t>3</w:t>
      </w:r>
      <w:r w:rsidR="00421CFA" w:rsidRPr="00421CFA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</w:t>
      </w:r>
      <w:r w:rsidR="001C01EB" w:rsidRPr="001C01EB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</w:t>
      </w:r>
      <w:r w:rsidR="001C01EB" w:rsidRPr="001C01E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7D4AEF0" w:rsidR="00610E7E" w:rsidRPr="00FC2AE6" w:rsidRDefault="000C7F9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51E2D">
        <w:rPr>
          <w:b/>
          <w:bCs/>
          <w:i/>
          <w:iCs/>
          <w:sz w:val="22"/>
          <w:szCs w:val="22"/>
          <w:lang w:val="en-US"/>
        </w:rPr>
        <w:t>2</w:t>
      </w:r>
      <w:r w:rsidR="00051E2D" w:rsidRPr="00051E2D">
        <w:rPr>
          <w:b/>
          <w:bCs/>
          <w:i/>
          <w:iCs/>
          <w:sz w:val="22"/>
          <w:szCs w:val="22"/>
          <w:lang w:val="en-US"/>
        </w:rPr>
        <w:t>5</w:t>
      </w:r>
      <w:r w:rsidR="00180B91" w:rsidRPr="00051E2D">
        <w:rPr>
          <w:b/>
          <w:bCs/>
          <w:i/>
          <w:iCs/>
          <w:sz w:val="22"/>
          <w:szCs w:val="22"/>
        </w:rPr>
        <w:t>0 000 (</w:t>
      </w:r>
      <w:r w:rsidRPr="00051E2D">
        <w:rPr>
          <w:b/>
          <w:bCs/>
          <w:i/>
          <w:iCs/>
          <w:sz w:val="22"/>
          <w:szCs w:val="22"/>
          <w:lang w:val="en-US"/>
        </w:rPr>
        <w:t>Двести</w:t>
      </w:r>
      <w:r w:rsidR="00051E2D">
        <w:rPr>
          <w:b/>
          <w:bCs/>
          <w:i/>
          <w:iCs/>
          <w:sz w:val="22"/>
          <w:szCs w:val="22"/>
          <w:lang w:val="en-US"/>
        </w:rPr>
        <w:t xml:space="preserve">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79D814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C01EB" w:rsidRPr="001C01E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B73C3" w:rsidRPr="001C01EB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C01EB" w:rsidRPr="000C7F9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C01EB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C01EB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F4C687C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</w:t>
      </w:r>
      <w:r w:rsidR="00421CFA" w:rsidRPr="00421CFA">
        <w:rPr>
          <w:b/>
          <w:bCs/>
          <w:i/>
          <w:iCs/>
          <w:sz w:val="22"/>
          <w:szCs w:val="22"/>
        </w:rPr>
        <w:t>1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421CFA" w:rsidRPr="00421CFA">
        <w:rPr>
          <w:b/>
          <w:bCs/>
          <w:i/>
          <w:iCs/>
          <w:sz w:val="22"/>
          <w:szCs w:val="22"/>
        </w:rPr>
        <w:t xml:space="preserve"> десяти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</w:t>
      </w:r>
      <w:r w:rsidR="00421CFA" w:rsidRPr="00421CFA">
        <w:rPr>
          <w:b/>
          <w:bCs/>
          <w:i/>
          <w:iCs/>
          <w:sz w:val="22"/>
          <w:szCs w:val="22"/>
        </w:rPr>
        <w:t>ям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>10</w:t>
      </w:r>
      <w:r w:rsidR="00421CFA" w:rsidRPr="00421CFA">
        <w:rPr>
          <w:b/>
          <w:bCs/>
          <w:i/>
          <w:iCs/>
          <w:sz w:val="22"/>
          <w:szCs w:val="22"/>
        </w:rPr>
        <w:t>1</w:t>
      </w:r>
      <w:r w:rsidR="004E1474">
        <w:rPr>
          <w:b/>
          <w:bCs/>
          <w:i/>
          <w:iCs/>
          <w:sz w:val="22"/>
          <w:szCs w:val="22"/>
        </w:rPr>
        <w:t xml:space="preserve">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421CFA" w:rsidRPr="00421CFA">
        <w:rPr>
          <w:b/>
          <w:bCs/>
          <w:i/>
          <w:iCs/>
          <w:sz w:val="22"/>
          <w:szCs w:val="22"/>
        </w:rPr>
        <w:t xml:space="preserve"> одному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</w:t>
      </w:r>
      <w:r w:rsidR="00421CFA" w:rsidRPr="00421CFA">
        <w:rPr>
          <w:b/>
          <w:bCs/>
          <w:i/>
          <w:iCs/>
          <w:sz w:val="22"/>
          <w:szCs w:val="22"/>
        </w:rPr>
        <w:t>у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C01EB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DE1F48E" w14:textId="77777777" w:rsidR="00421CFA" w:rsidRPr="00421CFA" w:rsidRDefault="00421CFA" w:rsidP="00421CF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06FC07C" w14:textId="77777777" w:rsidR="00421CFA" w:rsidRPr="00421CFA" w:rsidRDefault="00421CFA" w:rsidP="00421CF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1CF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5A3800CE" w14:textId="77777777" w:rsidR="00421CFA" w:rsidRPr="00421CFA" w:rsidRDefault="00421CFA" w:rsidP="00421CFA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1CF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1CFA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1CFA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3183BBAD" w14:textId="44666933" w:rsidR="00421CFA" w:rsidRPr="00421CFA" w:rsidRDefault="00421CFA" w:rsidP="00421CFA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421CF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1CFA">
        <w:rPr>
          <w:rFonts w:ascii="Times New Roman" w:eastAsia="Times New Roman" w:hAnsi="Times New Roman"/>
          <w:szCs w:val="20"/>
        </w:rPr>
        <w:t xml:space="preserve"> –</w:t>
      </w:r>
      <w:r w:rsidRPr="00421CF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1CFA">
        <w:rPr>
          <w:rFonts w:ascii="Times New Roman" w:eastAsia="Times New Roman" w:hAnsi="Times New Roman"/>
          <w:szCs w:val="20"/>
        </w:rPr>
        <w:t>величина</w:t>
      </w:r>
      <w:r w:rsidRPr="00421CF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1CF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1CF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1CF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1CF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5C39CD0" w14:textId="77777777" w:rsidR="00421CFA" w:rsidRPr="00421CFA" w:rsidRDefault="00421CFA" w:rsidP="00421CFA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421CFA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1CFA">
        <w:rPr>
          <w:rFonts w:ascii="Times New Roman" w:eastAsia="Times New Roman" w:hAnsi="Times New Roman"/>
          <w:b/>
          <w:i/>
          <w:szCs w:val="20"/>
        </w:rPr>
        <w:t>(</w:t>
      </w:r>
      <w:r w:rsidRPr="00421CFA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1CFA">
        <w:rPr>
          <w:rFonts w:ascii="Times New Roman" w:eastAsia="Times New Roman" w:hAnsi="Times New Roman"/>
          <w:b/>
          <w:i/>
          <w:szCs w:val="20"/>
        </w:rPr>
        <w:t>)</w:t>
      </w:r>
      <w:r w:rsidRPr="00421CFA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1CFA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C639D8B" w14:textId="2045A051" w:rsidR="00421CFA" w:rsidRPr="00421CFA" w:rsidRDefault="00421CFA" w:rsidP="00421CF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421CFA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421CFA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b/>
          <w:i/>
          <w:szCs w:val="24"/>
        </w:rPr>
        <w:t>)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421CFA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421CFA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bCs/>
          <w:iCs/>
          <w:szCs w:val="24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421CFA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bCs/>
          <w:iCs/>
          <w:szCs w:val="24"/>
        </w:rPr>
        <w:t>(0);</w:t>
      </w:r>
    </w:p>
    <w:p w14:paraId="749FD05C" w14:textId="77777777" w:rsidR="00421CFA" w:rsidRPr="00421CFA" w:rsidRDefault="00421CFA" w:rsidP="00421CF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421CFA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421CFA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320944B8" w14:textId="77777777" w:rsidR="00421CFA" w:rsidRPr="00421CFA" w:rsidRDefault="00421CFA" w:rsidP="00421CF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421CFA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421CFA">
        <w:rPr>
          <w:rFonts w:ascii="Times New Roman" w:eastAsia="Times New Roman" w:hAnsi="Times New Roman"/>
          <w:i/>
          <w:szCs w:val="24"/>
        </w:rPr>
        <w:t xml:space="preserve"> </w:t>
      </w:r>
      <w:r w:rsidRPr="00421CFA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421CFA">
        <w:rPr>
          <w:rFonts w:ascii="Times New Roman" w:eastAsia="Times New Roman" w:hAnsi="Times New Roman"/>
          <w:i/>
          <w:szCs w:val="24"/>
        </w:rPr>
        <w:t>(</w:t>
      </w:r>
      <w:r w:rsidRPr="00421CFA">
        <w:rPr>
          <w:rFonts w:ascii="Times New Roman" w:eastAsia="Times New Roman" w:hAnsi="Times New Roman"/>
          <w:i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i/>
          <w:szCs w:val="24"/>
        </w:rPr>
        <w:t>)</w:t>
      </w:r>
      <w:r w:rsidRPr="00421CFA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289E24E1" w14:textId="77777777" w:rsidR="00421CFA" w:rsidRPr="00421CFA" w:rsidRDefault="00421CFA" w:rsidP="00421CF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421CFA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421CFA">
        <w:rPr>
          <w:rFonts w:ascii="Times New Roman" w:eastAsia="Times New Roman" w:hAnsi="Times New Roman"/>
          <w:b/>
          <w:i/>
          <w:szCs w:val="24"/>
        </w:rPr>
        <w:t>j</w:t>
      </w:r>
      <w:r w:rsidRPr="00421CFA">
        <w:rPr>
          <w:rFonts w:ascii="Times New Roman" w:eastAsia="Times New Roman" w:hAnsi="Times New Roman"/>
          <w:b/>
          <w:szCs w:val="24"/>
        </w:rPr>
        <w:t xml:space="preserve"> </w:t>
      </w:r>
      <w:r w:rsidRPr="00421CFA">
        <w:rPr>
          <w:rFonts w:ascii="Times New Roman" w:eastAsia="Times New Roman" w:hAnsi="Times New Roman"/>
          <w:szCs w:val="24"/>
        </w:rPr>
        <w:t xml:space="preserve">= 1); </w:t>
      </w:r>
    </w:p>
    <w:p w14:paraId="55F9A401" w14:textId="77777777" w:rsidR="00421CFA" w:rsidRPr="00421CFA" w:rsidRDefault="00421CFA" w:rsidP="00421CF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421CFA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421CFA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421CFA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421CF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421CF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421CFA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5159327" w14:textId="77777777" w:rsidR="00421CFA" w:rsidRPr="00421CFA" w:rsidRDefault="00421CFA" w:rsidP="00421CFA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421CFA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421CFA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421CFA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421CFA">
        <w:rPr>
          <w:rFonts w:ascii="Times New Roman" w:eastAsia="Times New Roman" w:hAnsi="Times New Roman"/>
          <w:bCs/>
          <w:iCs/>
          <w:szCs w:val="24"/>
        </w:rPr>
        <w:t>.</w:t>
      </w:r>
    </w:p>
    <w:p w14:paraId="07BB2260" w14:textId="77777777" w:rsidR="00421CFA" w:rsidRPr="00421CFA" w:rsidRDefault="00421CFA" w:rsidP="00421CFA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421CFA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421CFA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10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686"/>
        <w:gridCol w:w="195"/>
        <w:gridCol w:w="1701"/>
        <w:gridCol w:w="195"/>
        <w:gridCol w:w="5025"/>
      </w:tblGrid>
      <w:tr w:rsidR="00421CFA" w:rsidRPr="00421CFA" w14:paraId="32A847F5" w14:textId="77777777" w:rsidTr="00421CFA">
        <w:trPr>
          <w:trHeight w:val="300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2833C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 w:eastAsia="en-US"/>
              </w:rPr>
            </w:pPr>
            <w:r w:rsidRPr="00421CFA">
              <w:rPr>
                <w:rFonts w:ascii="Times New Roman" w:eastAsia="Times New Roman" w:hAnsi="Times New Roman"/>
                <w:i/>
                <w:color w:val="000000"/>
                <w:szCs w:val="20"/>
                <w:lang w:val="en-US" w:eastAsia="en-US"/>
              </w:rPr>
              <w:t>i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5DC8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71FB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B075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ISIN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3F29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ECC0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Биржа Референсного актива</w:t>
            </w:r>
          </w:p>
        </w:tc>
      </w:tr>
      <w:tr w:rsidR="00421CFA" w:rsidRPr="00421CFA" w14:paraId="2519274F" w14:textId="77777777" w:rsidTr="00421CF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D6368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0"/>
                <w:lang w:val="en-US"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9214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E881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4B2B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Валюта актива</w:t>
            </w: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9433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51BA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Источник цены (ссылка)</w:t>
            </w:r>
          </w:p>
        </w:tc>
      </w:tr>
      <w:tr w:rsidR="00421CFA" w:rsidRPr="00421CFA" w14:paraId="205D3FFD" w14:textId="77777777" w:rsidTr="00421CF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DA44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0"/>
                <w:lang w:val="en-US" w:eastAsia="en-US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3100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BC615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01DA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C32A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FA3A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421CFA" w:rsidRPr="00421CFA" w14:paraId="57686117" w14:textId="77777777" w:rsidTr="00421CFA">
        <w:trPr>
          <w:trHeight w:val="300"/>
        </w:trPr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9A3D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1</w:t>
            </w:r>
            <w:r w:rsidRPr="00421CFA">
              <w:rPr>
                <w:rFonts w:ascii="Times New Roman" w:eastAsia="Times New Roman" w:hAnsi="Times New Roman"/>
                <w:color w:val="000000"/>
                <w:szCs w:val="20"/>
                <w:lang w:val="en-US" w:eastAsia="en-US"/>
              </w:rPr>
              <w:t>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DB05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bCs/>
                <w:iCs/>
                <w:szCs w:val="24"/>
                <w:lang w:eastAsia="en-US"/>
              </w:rPr>
              <w:t>Публичное акционерное общество "Газпром</w:t>
            </w:r>
            <w:r w:rsidRPr="00421CFA">
              <w:rPr>
                <w:rFonts w:ascii="Times New Roman" w:eastAsia="Times New Roman" w:hAnsi="Times New Roman"/>
                <w:bCs/>
                <w:iCs/>
                <w:szCs w:val="20"/>
                <w:lang w:eastAsia="en-US"/>
              </w:rPr>
              <w:t>"</w:t>
            </w: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025E1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A2B7E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RU0007661625</w:t>
            </w: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332E7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1. 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8F41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Московская биржа</w:t>
            </w:r>
          </w:p>
        </w:tc>
      </w:tr>
      <w:tr w:rsidR="00421CFA" w:rsidRPr="00421CFA" w14:paraId="3C70775F" w14:textId="77777777" w:rsidTr="00421CF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9D33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8924E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9FF1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9FB8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Российский рубль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90E0B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2. 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C7851" w14:textId="77777777" w:rsidR="00421CFA" w:rsidRPr="00421CFA" w:rsidRDefault="00F5079A" w:rsidP="00421CFA">
            <w:pPr>
              <w:spacing w:after="0"/>
              <w:rPr>
                <w:rFonts w:ascii="Times New Roman" w:eastAsia="Times New Roman" w:hAnsi="Times New Roman"/>
                <w:color w:val="0563C1"/>
                <w:szCs w:val="20"/>
                <w:u w:val="single"/>
                <w:lang w:eastAsia="en-US"/>
              </w:rPr>
            </w:pPr>
            <w:hyperlink r:id="rId8" w:history="1">
              <w:r w:rsidR="00421CFA" w:rsidRPr="00421CFA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eastAsia="en-US"/>
                </w:rPr>
                <w:t>https://www.moex.com/ru/issue.aspx?code=</w:t>
              </w:r>
              <w:r w:rsidR="00421CFA" w:rsidRPr="00421CFA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 w:eastAsia="en-US"/>
                </w:rPr>
                <w:t>GAZP</w:t>
              </w:r>
            </w:hyperlink>
          </w:p>
        </w:tc>
      </w:tr>
      <w:tr w:rsidR="00421CFA" w:rsidRPr="00421CFA" w14:paraId="06F23CD5" w14:textId="77777777" w:rsidTr="00421CFA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427A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32514" w14:textId="77777777" w:rsidR="00421CFA" w:rsidRPr="00421CFA" w:rsidRDefault="00421CFA" w:rsidP="00421C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332E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2270F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1888" w14:textId="77777777" w:rsidR="00421CFA" w:rsidRPr="00421CFA" w:rsidRDefault="00421CFA" w:rsidP="00421C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 xml:space="preserve">3. 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E814" w14:textId="77777777" w:rsidR="00421CFA" w:rsidRPr="00421CFA" w:rsidRDefault="00421CFA" w:rsidP="00421CFA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 w:rsidRPr="00421CFA"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16146AA2" w14:textId="77777777" w:rsidR="00421CFA" w:rsidRPr="00421CFA" w:rsidRDefault="00421CFA" w:rsidP="00421CFA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1CFA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84B859F" w14:textId="77777777" w:rsidR="00421CFA" w:rsidRPr="00421CFA" w:rsidRDefault="00421CFA" w:rsidP="00421CF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1CFA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1CFA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1CFA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1CFA">
        <w:rPr>
          <w:rFonts w:ascii="Times New Roman" w:eastAsia="Times New Roman" w:hAnsi="Times New Roman"/>
          <w:i/>
          <w:szCs w:val="20"/>
        </w:rPr>
        <w:t xml:space="preserve"> </w:t>
      </w:r>
      <w:r w:rsidRPr="00421CF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1CF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1CFA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1CFA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451E426" w14:textId="77777777" w:rsidR="00421CFA" w:rsidRPr="00421CFA" w:rsidRDefault="00421CFA" w:rsidP="00421CF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1CF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1CF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1CFA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1CFA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4AA7946" w14:textId="77777777" w:rsidR="00421CFA" w:rsidRPr="00421CFA" w:rsidRDefault="00421CFA" w:rsidP="00421CF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1CFA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21CFA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F65CCE7" w14:textId="77777777" w:rsidR="00421CFA" w:rsidRPr="00421CFA" w:rsidRDefault="00421CFA" w:rsidP="00421CF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Cs/>
          <w:iCs/>
          <w:szCs w:val="20"/>
          <w:lang w:val="en-US"/>
        </w:rPr>
      </w:pPr>
      <w:r w:rsidRPr="00421CFA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F72910F" w:rsidR="00C64711" w:rsidRPr="00CF2E82" w:rsidRDefault="00C64711" w:rsidP="00421CF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D63D522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0C7F92" w:rsidRPr="000C7F92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0C7F92" w:rsidRPr="000C7F92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922A" w14:textId="77777777" w:rsidR="00F5079A" w:rsidRDefault="00F5079A" w:rsidP="0053664B">
      <w:pPr>
        <w:spacing w:after="0" w:line="240" w:lineRule="auto"/>
      </w:pPr>
      <w:r>
        <w:separator/>
      </w:r>
    </w:p>
  </w:endnote>
  <w:endnote w:type="continuationSeparator" w:id="0">
    <w:p w14:paraId="7E7BE0CB" w14:textId="77777777" w:rsidR="00F5079A" w:rsidRDefault="00F5079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1FD550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92E5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2A74D" w14:textId="77777777" w:rsidR="00F5079A" w:rsidRDefault="00F5079A" w:rsidP="0053664B">
      <w:pPr>
        <w:spacing w:after="0" w:line="240" w:lineRule="auto"/>
      </w:pPr>
      <w:r>
        <w:separator/>
      </w:r>
    </w:p>
  </w:footnote>
  <w:footnote w:type="continuationSeparator" w:id="0">
    <w:p w14:paraId="4BA58C91" w14:textId="77777777" w:rsidR="00F5079A" w:rsidRDefault="00F5079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1E2D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C7F92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1EB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2E5D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1CF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079A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C6E2F45-ACE3-4B69-A116-ABB7759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888C-6D26-463B-B8D0-50B56E10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4823</Words>
  <Characters>27492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2020-11-02T13:42:00Z</dcterms:created>
  <dcterms:modified xsi:type="dcterms:W3CDTF">2020-11-02T13:42:00Z</dcterms:modified>
</cp:coreProperties>
</file>