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B28368C" w:rsidR="00996E29" w:rsidRPr="004967FC" w:rsidRDefault="00B266F7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268032D" w:rsidR="00996E29" w:rsidRPr="001A7ABD" w:rsidRDefault="00B266F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06C5BD8B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B266F7" w:rsidRPr="00B266F7">
        <w:rPr>
          <w:rFonts w:ascii="Times New Roman" w:hAnsi="Times New Roman"/>
          <w:b/>
          <w:bCs/>
          <w:i/>
          <w:iCs/>
          <w:sz w:val="24"/>
          <w:szCs w:val="24"/>
        </w:rPr>
        <w:t>40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543E7" w:rsidRPr="00DD1D2C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08729C" w:rsidRPr="00DD1D2C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DD1D2C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0543E7" w:rsidRPr="00DD1D2C">
        <w:rPr>
          <w:rFonts w:ascii="Times New Roman" w:hAnsi="Times New Roman"/>
          <w:b/>
          <w:bCs/>
          <w:i/>
          <w:iCs/>
          <w:sz w:val="24"/>
          <w:szCs w:val="24"/>
        </w:rPr>
        <w:t>Пятьсот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3EC7AE10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B266F7" w:rsidRPr="00B266F7">
        <w:rPr>
          <w:rFonts w:ascii="Times New Roman" w:hAnsi="Times New Roman"/>
          <w:b/>
          <w:bCs/>
          <w:i/>
          <w:iCs/>
          <w:color w:val="000000"/>
        </w:rPr>
        <w:t>40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3C66CC68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B266F7" w:rsidRPr="00B266F7">
        <w:rPr>
          <w:b/>
          <w:i/>
          <w:sz w:val="22"/>
          <w:szCs w:val="22"/>
        </w:rPr>
        <w:t>40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4967FC" w:rsidRPr="004967FC">
        <w:rPr>
          <w:b/>
          <w:i/>
          <w:sz w:val="22"/>
          <w:szCs w:val="22"/>
        </w:rPr>
        <w:t>0</w:t>
      </w:r>
      <w:r w:rsidR="001C01EB" w:rsidRPr="001C01EB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</w:t>
      </w:r>
      <w:r w:rsidR="001C01EB" w:rsidRPr="001C01EB">
        <w:rPr>
          <w:b/>
          <w:i/>
          <w:sz w:val="22"/>
          <w:szCs w:val="22"/>
        </w:rPr>
        <w:t>10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192B022" w:rsidR="00610E7E" w:rsidRPr="00FC2AE6" w:rsidRDefault="000543E7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DD1D2C">
        <w:rPr>
          <w:b/>
          <w:bCs/>
          <w:i/>
          <w:iCs/>
          <w:sz w:val="22"/>
          <w:szCs w:val="22"/>
        </w:rPr>
        <w:t>5</w:t>
      </w:r>
      <w:r w:rsidR="0008729C" w:rsidRPr="00DD1D2C">
        <w:rPr>
          <w:b/>
          <w:bCs/>
          <w:i/>
          <w:iCs/>
          <w:sz w:val="22"/>
          <w:szCs w:val="22"/>
        </w:rPr>
        <w:t>0</w:t>
      </w:r>
      <w:r w:rsidR="00180B91" w:rsidRPr="00DD1D2C">
        <w:rPr>
          <w:b/>
          <w:bCs/>
          <w:i/>
          <w:iCs/>
          <w:sz w:val="22"/>
          <w:szCs w:val="22"/>
        </w:rPr>
        <w:t>0 000 (</w:t>
      </w:r>
      <w:r w:rsidRPr="00DD1D2C">
        <w:rPr>
          <w:b/>
          <w:bCs/>
          <w:i/>
          <w:iCs/>
          <w:sz w:val="22"/>
          <w:szCs w:val="22"/>
        </w:rPr>
        <w:t>Пятьсот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094742F9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586F88" w:rsidRPr="00586F88">
        <w:rPr>
          <w:b/>
          <w:bCs/>
          <w:i/>
          <w:iCs/>
          <w:color w:val="000000" w:themeColor="text1"/>
          <w:sz w:val="22"/>
          <w:szCs w:val="22"/>
        </w:rPr>
        <w:t>24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360251" w:rsidRPr="0036025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1C01EB" w:rsidRPr="000C7F9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C01EB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C01EB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C01EB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27F8A55B" w14:textId="77777777" w:rsidR="000C7F92" w:rsidRPr="000C7F92" w:rsidRDefault="000C7F92" w:rsidP="000C7F9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0C7F92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</w:p>
    <w:p w14:paraId="08EC4E95" w14:textId="77777777" w:rsidR="000C7F92" w:rsidRPr="000C7F92" w:rsidRDefault="000C7F92" w:rsidP="000C7F9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0C7F92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1:</w:t>
      </w:r>
    </w:p>
    <w:p w14:paraId="6C8F5848" w14:textId="77777777" w:rsidR="000C7F92" w:rsidRPr="000C7F92" w:rsidRDefault="000C7F92" w:rsidP="000C7F92">
      <w:pPr>
        <w:spacing w:after="0" w:line="240" w:lineRule="auto"/>
        <w:rPr>
          <w:rFonts w:ascii="Times New Roman" w:eastAsia="Times New Roman" w:hAnsi="Times New Roman"/>
          <w:bCs/>
          <w:i/>
          <w:iCs/>
          <w:szCs w:val="20"/>
        </w:rPr>
      </w:pPr>
      <w:r w:rsidRPr="000C7F92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</w:t>
      </w:r>
      <w:r w:rsidRPr="000C7F92">
        <w:rPr>
          <w:rFonts w:ascii="Times New Roman" w:eastAsia="Times New Roman" w:hAnsi="Times New Roman"/>
          <w:bCs/>
          <w:i/>
          <w:iCs/>
          <w:szCs w:val="20"/>
          <w:vertAlign w:val="subscript"/>
        </w:rPr>
        <w:t>j</w:t>
      </w:r>
      <w:r w:rsidRPr="000C7F92">
        <w:rPr>
          <w:rFonts w:ascii="Times New Roman" w:eastAsia="Times New Roman" w:hAnsi="Times New Roman"/>
          <w:bCs/>
          <w:i/>
          <w:iCs/>
          <w:szCs w:val="20"/>
        </w:rPr>
        <w:t xml:space="preserve"> = (R / 2) * K(j), где</w:t>
      </w:r>
    </w:p>
    <w:p w14:paraId="523ABE29" w14:textId="2CEB6980" w:rsidR="000C7F92" w:rsidRPr="000C7F92" w:rsidRDefault="000C7F92" w:rsidP="000C7F92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Cs/>
          <w:iCs/>
          <w:szCs w:val="20"/>
        </w:rPr>
      </w:pPr>
      <w:r w:rsidRPr="000C7F92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0C7F92">
        <w:rPr>
          <w:rFonts w:ascii="Times New Roman" w:eastAsia="Times New Roman" w:hAnsi="Times New Roman"/>
          <w:szCs w:val="20"/>
        </w:rPr>
        <w:t xml:space="preserve"> –</w:t>
      </w:r>
      <w:r w:rsidRPr="000C7F92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0C7F92">
        <w:rPr>
          <w:rFonts w:ascii="Times New Roman" w:eastAsia="Times New Roman" w:hAnsi="Times New Roman"/>
          <w:szCs w:val="20"/>
        </w:rPr>
        <w:t>величина</w:t>
      </w:r>
      <w:r w:rsidRPr="000C7F92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0C7F92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0C7F92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0C7F92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0C7F92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9E1C69" w14:textId="77777777" w:rsidR="000C7F92" w:rsidRPr="000C7F92" w:rsidRDefault="000C7F92" w:rsidP="000C7F92">
      <w:pPr>
        <w:spacing w:after="0"/>
        <w:rPr>
          <w:rFonts w:ascii="Times New Roman" w:eastAsia="Times New Roman" w:hAnsi="Times New Roman"/>
          <w:color w:val="1F497D"/>
          <w:szCs w:val="20"/>
        </w:rPr>
      </w:pPr>
      <w:r w:rsidRPr="000C7F92">
        <w:rPr>
          <w:rFonts w:ascii="Times New Roman" w:eastAsia="Times New Roman" w:hAnsi="Times New Roman"/>
          <w:b/>
          <w:i/>
          <w:szCs w:val="20"/>
          <w:lang w:val="en-US"/>
        </w:rPr>
        <w:t>K</w:t>
      </w:r>
      <w:r w:rsidRPr="000C7F92">
        <w:rPr>
          <w:rFonts w:ascii="Times New Roman" w:eastAsia="Times New Roman" w:hAnsi="Times New Roman"/>
          <w:b/>
          <w:i/>
          <w:szCs w:val="20"/>
        </w:rPr>
        <w:t>(</w:t>
      </w:r>
      <w:r w:rsidRPr="000C7F92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0C7F92">
        <w:rPr>
          <w:rFonts w:ascii="Times New Roman" w:eastAsia="Times New Roman" w:hAnsi="Times New Roman"/>
          <w:b/>
          <w:i/>
          <w:szCs w:val="20"/>
        </w:rPr>
        <w:t>)</w:t>
      </w:r>
      <w:r w:rsidRPr="000C7F92">
        <w:rPr>
          <w:rFonts w:ascii="Times New Roman" w:eastAsia="Times New Roman" w:hAnsi="Times New Roman"/>
          <w:color w:val="1F497D"/>
          <w:szCs w:val="20"/>
        </w:rPr>
        <w:t xml:space="preserve"> </w:t>
      </w:r>
      <w:r w:rsidRPr="000C7F92">
        <w:rPr>
          <w:rFonts w:ascii="Times New Roman" w:eastAsia="Times New Roman" w:hAnsi="Times New Roman"/>
          <w:bCs/>
          <w:iCs/>
          <w:szCs w:val="20"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76B4C919" w14:textId="295D2B5A" w:rsidR="000C7F92" w:rsidRPr="000C7F92" w:rsidRDefault="000C7F92" w:rsidP="000C7F92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0C7F92">
        <w:rPr>
          <w:rFonts w:ascii="Times New Roman" w:eastAsia="Times New Roman" w:hAnsi="Times New Roman"/>
          <w:b/>
          <w:i/>
          <w:szCs w:val="24"/>
        </w:rPr>
        <w:t>Барьерное условие (</w:t>
      </w:r>
      <w:r w:rsidRPr="000C7F92">
        <w:rPr>
          <w:rFonts w:ascii="Times New Roman" w:eastAsia="Times New Roman" w:hAnsi="Times New Roman"/>
          <w:b/>
          <w:i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b/>
          <w:i/>
          <w:szCs w:val="24"/>
        </w:rPr>
        <w:t>)</w:t>
      </w:r>
      <w:r w:rsidRPr="000C7F92">
        <w:rPr>
          <w:rFonts w:ascii="Times New Roman" w:eastAsia="Times New Roman" w:hAnsi="Times New Roman"/>
          <w:bCs/>
          <w:iCs/>
          <w:szCs w:val="24"/>
        </w:rPr>
        <w:t xml:space="preserve"> – выполняется, если величина </w:t>
      </w:r>
      <w:r w:rsidRPr="000C7F92">
        <w:rPr>
          <w:rFonts w:ascii="Times New Roman" w:eastAsia="Times New Roman" w:hAnsi="Times New Roman"/>
          <w:bCs/>
          <w:iCs/>
          <w:szCs w:val="24"/>
          <w:lang w:val="en-US"/>
        </w:rPr>
        <w:t>S</w:t>
      </w:r>
      <w:r w:rsidRPr="000C7F92">
        <w:rPr>
          <w:rFonts w:ascii="Times New Roman" w:eastAsia="Times New Roman" w:hAnsi="Times New Roman"/>
          <w:bCs/>
          <w:iCs/>
          <w:szCs w:val="24"/>
        </w:rPr>
        <w:t xml:space="preserve"> (</w:t>
      </w:r>
      <w:r w:rsidRPr="000C7F92">
        <w:rPr>
          <w:rFonts w:ascii="Times New Roman" w:eastAsia="Times New Roman" w:hAnsi="Times New Roman"/>
          <w:bCs/>
          <w:iCs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bCs/>
          <w:iCs/>
          <w:szCs w:val="24"/>
        </w:rPr>
        <w:t>) принима</w:t>
      </w:r>
      <w:r>
        <w:rPr>
          <w:rFonts w:ascii="Times New Roman" w:eastAsia="Times New Roman" w:hAnsi="Times New Roman"/>
          <w:bCs/>
          <w:iCs/>
          <w:szCs w:val="24"/>
        </w:rPr>
        <w:t xml:space="preserve">ет значение, большее или равное </w:t>
      </w:r>
      <w:r w:rsidRPr="000C7F92">
        <w:rPr>
          <w:rFonts w:ascii="Times New Roman" w:eastAsia="Times New Roman" w:hAnsi="Times New Roman"/>
          <w:bCs/>
          <w:iCs/>
          <w:szCs w:val="24"/>
        </w:rPr>
        <w:t>1.15</w:t>
      </w:r>
      <w:r>
        <w:rPr>
          <w:rFonts w:ascii="Times New Roman" w:eastAsia="Times New Roman" w:hAnsi="Times New Roman"/>
          <w:bCs/>
          <w:iCs/>
          <w:szCs w:val="24"/>
          <w:lang w:val="en-US"/>
        </w:rPr>
        <w:t> </w:t>
      </w:r>
      <w:r w:rsidRPr="000C7F92">
        <w:rPr>
          <w:rFonts w:ascii="Times New Roman" w:eastAsia="Times New Roman" w:hAnsi="Times New Roman"/>
          <w:bCs/>
          <w:iCs/>
          <w:szCs w:val="24"/>
        </w:rPr>
        <w:t xml:space="preserve">* </w:t>
      </w:r>
      <w:r w:rsidRPr="000C7F92">
        <w:rPr>
          <w:rFonts w:ascii="Times New Roman" w:eastAsia="Times New Roman" w:hAnsi="Times New Roman"/>
          <w:bCs/>
          <w:iCs/>
          <w:szCs w:val="24"/>
          <w:lang w:val="en-US"/>
        </w:rPr>
        <w:t>S</w:t>
      </w:r>
      <w:r w:rsidRPr="000C7F92">
        <w:rPr>
          <w:rFonts w:ascii="Times New Roman" w:eastAsia="Times New Roman" w:hAnsi="Times New Roman"/>
          <w:bCs/>
          <w:iCs/>
          <w:szCs w:val="24"/>
        </w:rPr>
        <w:t>(0);</w:t>
      </w:r>
    </w:p>
    <w:p w14:paraId="1093C5F0" w14:textId="77777777" w:rsidR="000C7F92" w:rsidRPr="000C7F92" w:rsidRDefault="000C7F92" w:rsidP="000C7F92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4"/>
          <w:u w:val="single"/>
        </w:rPr>
      </w:pPr>
      <w:r w:rsidRPr="000C7F92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(0)</w:t>
      </w:r>
      <w:r w:rsidRPr="000C7F92">
        <w:rPr>
          <w:rFonts w:ascii="Times New Roman" w:eastAsia="Times New Roman" w:hAnsi="Times New Roman"/>
          <w:bCs/>
          <w:i/>
          <w:iCs/>
          <w:szCs w:val="24"/>
        </w:rPr>
        <w:t xml:space="preserve"> </w:t>
      </w:r>
      <w:r w:rsidRPr="000C7F92">
        <w:rPr>
          <w:rFonts w:ascii="Times New Roman" w:eastAsia="Times New Roman" w:hAnsi="Times New Roman"/>
          <w:szCs w:val="24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101D336D" w14:textId="77777777" w:rsidR="000C7F92" w:rsidRPr="000C7F92" w:rsidRDefault="000C7F92" w:rsidP="000C7F92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4"/>
        </w:rPr>
      </w:pPr>
      <w:r w:rsidRPr="000C7F92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(</w:t>
      </w:r>
      <w:r w:rsidRPr="000C7F92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  <w:r w:rsidRPr="000C7F92">
        <w:rPr>
          <w:rFonts w:ascii="Times New Roman" w:eastAsia="Times New Roman" w:hAnsi="Times New Roman"/>
          <w:szCs w:val="24"/>
        </w:rPr>
        <w:t xml:space="preserve"> – цена закрытия Референсного актива</w:t>
      </w:r>
      <w:r w:rsidRPr="000C7F92">
        <w:rPr>
          <w:rFonts w:ascii="Times New Roman" w:eastAsia="Times New Roman" w:hAnsi="Times New Roman"/>
          <w:i/>
          <w:szCs w:val="24"/>
        </w:rPr>
        <w:t xml:space="preserve"> </w:t>
      </w:r>
      <w:r w:rsidRPr="000C7F92">
        <w:rPr>
          <w:rFonts w:ascii="Times New Roman" w:eastAsia="Times New Roman" w:hAnsi="Times New Roman"/>
          <w:szCs w:val="24"/>
        </w:rPr>
        <w:t xml:space="preserve">в Дату определения дополнительного дохода </w:t>
      </w:r>
      <w:r w:rsidRPr="000C7F92">
        <w:rPr>
          <w:rFonts w:ascii="Times New Roman" w:eastAsia="Times New Roman" w:hAnsi="Times New Roman"/>
          <w:i/>
          <w:szCs w:val="24"/>
        </w:rPr>
        <w:t>(</w:t>
      </w:r>
      <w:r w:rsidRPr="000C7F92">
        <w:rPr>
          <w:rFonts w:ascii="Times New Roman" w:eastAsia="Times New Roman" w:hAnsi="Times New Roman"/>
          <w:i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i/>
          <w:szCs w:val="24"/>
        </w:rPr>
        <w:t>)</w:t>
      </w:r>
      <w:r w:rsidRPr="000C7F92">
        <w:rPr>
          <w:rFonts w:ascii="Times New Roman" w:eastAsia="Times New Roman" w:hAnsi="Times New Roman"/>
          <w:szCs w:val="24"/>
        </w:rPr>
        <w:t xml:space="preserve"> на соответствующей бирже Референсного актива в валюте Референсного актива. </w:t>
      </w:r>
    </w:p>
    <w:p w14:paraId="4B4A88A8" w14:textId="77777777" w:rsidR="000C7F92" w:rsidRPr="000C7F92" w:rsidRDefault="000C7F92" w:rsidP="000C7F92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Cs w:val="24"/>
        </w:rPr>
      </w:pP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j</w:t>
      </w:r>
      <w:r w:rsidRPr="000C7F92">
        <w:rPr>
          <w:rFonts w:ascii="Times New Roman" w:eastAsia="Times New Roman" w:hAnsi="Times New Roman"/>
          <w:szCs w:val="24"/>
        </w:rPr>
        <w:t xml:space="preserve"> – порядковый номер выплаты дополнительного дохода (</w:t>
      </w:r>
      <w:r w:rsidRPr="000C7F92">
        <w:rPr>
          <w:rFonts w:ascii="Times New Roman" w:eastAsia="Times New Roman" w:hAnsi="Times New Roman"/>
          <w:b/>
          <w:i/>
          <w:szCs w:val="24"/>
        </w:rPr>
        <w:t>j</w:t>
      </w:r>
      <w:r w:rsidRPr="000C7F92">
        <w:rPr>
          <w:rFonts w:ascii="Times New Roman" w:eastAsia="Times New Roman" w:hAnsi="Times New Roman"/>
          <w:b/>
          <w:szCs w:val="24"/>
        </w:rPr>
        <w:t xml:space="preserve"> </w:t>
      </w:r>
      <w:r w:rsidRPr="000C7F92">
        <w:rPr>
          <w:rFonts w:ascii="Times New Roman" w:eastAsia="Times New Roman" w:hAnsi="Times New Roman"/>
          <w:szCs w:val="24"/>
        </w:rPr>
        <w:t xml:space="preserve">= 1); </w:t>
      </w:r>
    </w:p>
    <w:p w14:paraId="05696762" w14:textId="77777777" w:rsidR="000C7F92" w:rsidRPr="000C7F92" w:rsidRDefault="000C7F92" w:rsidP="000C7F92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4"/>
        </w:rPr>
      </w:pP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Дата определения</w:t>
      </w:r>
      <w:r w:rsidRPr="000C7F92">
        <w:rPr>
          <w:rFonts w:ascii="Times New Roman" w:eastAsia="Times New Roman" w:hAnsi="Times New Roman"/>
          <w:bCs/>
          <w:iCs/>
          <w:szCs w:val="24"/>
        </w:rPr>
        <w:t xml:space="preserve"> </w:t>
      </w: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дополнительного дохода</w:t>
      </w:r>
      <w:r w:rsidRPr="000C7F92">
        <w:rPr>
          <w:rFonts w:ascii="Times New Roman" w:eastAsia="Times New Roman" w:hAnsi="Times New Roman"/>
          <w:bCs/>
          <w:iCs/>
          <w:szCs w:val="24"/>
        </w:rPr>
        <w:t xml:space="preserve"> - 2-ой (Второй) Торговый день, предшествующий Дате выплаты дополнительного дохода. </w:t>
      </w:r>
      <w:r w:rsidRPr="000C7F92">
        <w:rPr>
          <w:rFonts w:ascii="Times New Roman" w:eastAsia="Times New Roman" w:hAnsi="Times New Roman"/>
          <w:color w:val="000000"/>
          <w:szCs w:val="24"/>
        </w:rPr>
        <w:t xml:space="preserve">Если значение </w:t>
      </w:r>
      <w:r w:rsidRPr="000C7F92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0C7F92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0C7F92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0C7F92">
        <w:rPr>
          <w:rFonts w:ascii="Times New Roman" w:eastAsia="Times New Roman" w:hAnsi="Times New Roman"/>
          <w:color w:val="000000"/>
          <w:szCs w:val="24"/>
        </w:rPr>
        <w:t xml:space="preserve"> не может быть определено в Дату определения дополнительного дохода, то последовательно перебираются 3-ий, 4-ый, 5-ый и так далее предшествующие Торговые дни, пока значение </w:t>
      </w:r>
      <w:r w:rsidRPr="000C7F92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0C7F92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0C7F92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0C7F92">
        <w:rPr>
          <w:rFonts w:ascii="Times New Roman" w:eastAsia="Times New Roman" w:hAnsi="Times New Roman"/>
          <w:color w:val="000000"/>
          <w:szCs w:val="24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0C7F92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0C7F92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0C7F92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0C7F92">
        <w:rPr>
          <w:rFonts w:ascii="Times New Roman" w:eastAsia="Times New Roman" w:hAnsi="Times New Roman"/>
          <w:color w:val="000000"/>
          <w:szCs w:val="24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37AFBF9E" w14:textId="77777777" w:rsidR="000C7F92" w:rsidRPr="000C7F92" w:rsidRDefault="000C7F92" w:rsidP="000C7F92">
      <w:pPr>
        <w:spacing w:before="6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Торговый день</w:t>
      </w:r>
      <w:r w:rsidRPr="000C7F92">
        <w:rPr>
          <w:rFonts w:ascii="Times New Roman" w:eastAsia="Times New Roman" w:hAnsi="Times New Roman"/>
          <w:szCs w:val="24"/>
        </w:rPr>
        <w:t xml:space="preserve"> – каждый день, в который осуществляются торги</w:t>
      </w:r>
      <w:r w:rsidRPr="000C7F92">
        <w:rPr>
          <w:rFonts w:ascii="Times New Roman" w:eastAsia="Times New Roman" w:hAnsi="Times New Roman"/>
          <w:bCs/>
          <w:iCs/>
          <w:szCs w:val="24"/>
        </w:rPr>
        <w:t xml:space="preserve"> Референсным активом на </w:t>
      </w:r>
      <w:r w:rsidRPr="000C7F92">
        <w:rPr>
          <w:rFonts w:ascii="Times New Roman" w:eastAsia="Times New Roman" w:hAnsi="Times New Roman"/>
          <w:szCs w:val="24"/>
        </w:rPr>
        <w:t>соответствующей бирже Референсного актива</w:t>
      </w:r>
      <w:r w:rsidRPr="000C7F92">
        <w:rPr>
          <w:rFonts w:ascii="Times New Roman" w:eastAsia="Times New Roman" w:hAnsi="Times New Roman"/>
          <w:bCs/>
          <w:iCs/>
          <w:szCs w:val="24"/>
        </w:rPr>
        <w:t>.</w:t>
      </w:r>
    </w:p>
    <w:p w14:paraId="6C56DFE5" w14:textId="77777777" w:rsidR="000C7F92" w:rsidRPr="000C7F92" w:rsidRDefault="000C7F92" w:rsidP="000C7F92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4"/>
        </w:rPr>
      </w:pPr>
      <w:r w:rsidRPr="000C7F92">
        <w:rPr>
          <w:rFonts w:ascii="Times New Roman" w:eastAsia="Times New Roman" w:hAnsi="Times New Roman"/>
          <w:b/>
          <w:i/>
          <w:color w:val="000000"/>
          <w:szCs w:val="24"/>
        </w:rPr>
        <w:t>Референсный актив</w:t>
      </w:r>
      <w:r w:rsidRPr="000C7F92">
        <w:rPr>
          <w:rFonts w:ascii="Times New Roman" w:eastAsia="Times New Roman" w:hAnsi="Times New Roman"/>
          <w:color w:val="000000"/>
          <w:szCs w:val="24"/>
        </w:rPr>
        <w:t>: одна обыкновенная акция со следующими характеристиками:</w:t>
      </w:r>
    </w:p>
    <w:tbl>
      <w:tblPr>
        <w:tblW w:w="1008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278"/>
        <w:gridCol w:w="181"/>
        <w:gridCol w:w="1701"/>
        <w:gridCol w:w="181"/>
        <w:gridCol w:w="5450"/>
      </w:tblGrid>
      <w:tr w:rsidR="000C7F92" w:rsidRPr="000C7F92" w14:paraId="7E795828" w14:textId="77777777" w:rsidTr="00B266F7">
        <w:trPr>
          <w:trHeight w:val="30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849AD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  <w:r w:rsidRPr="000C7F9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F6ADC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Наименование эмитента Референсного актива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33AD0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3FC94" w14:textId="77777777" w:rsidR="000C7F92" w:rsidRPr="000C7F92" w:rsidRDefault="000C7F92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ISIN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D8A64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2F0B6" w14:textId="77777777" w:rsidR="000C7F92" w:rsidRPr="000C7F92" w:rsidRDefault="000C7F92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Биржа Референсного актива</w:t>
            </w:r>
          </w:p>
        </w:tc>
      </w:tr>
      <w:tr w:rsidR="000C7F92" w:rsidRPr="000C7F92" w14:paraId="0A9BB47A" w14:textId="77777777" w:rsidTr="00B266F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7FD8E" w14:textId="77777777" w:rsidR="000C7F92" w:rsidRPr="000C7F92" w:rsidRDefault="000C7F92" w:rsidP="000C7F9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6F059" w14:textId="77777777" w:rsidR="000C7F92" w:rsidRPr="000C7F92" w:rsidRDefault="000C7F92" w:rsidP="000C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F7646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94382" w14:textId="77777777" w:rsidR="000C7F92" w:rsidRPr="000C7F92" w:rsidRDefault="000C7F92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Валюта актива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F912B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0E847" w14:textId="77777777" w:rsidR="000C7F92" w:rsidRPr="000C7F92" w:rsidRDefault="000C7F92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Источник цены (ссылка)</w:t>
            </w:r>
          </w:p>
        </w:tc>
      </w:tr>
      <w:tr w:rsidR="000C7F92" w:rsidRPr="000C7F92" w14:paraId="68AEB24D" w14:textId="77777777" w:rsidTr="00B266F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76724" w14:textId="77777777" w:rsidR="000C7F92" w:rsidRPr="000C7F92" w:rsidRDefault="000C7F92" w:rsidP="000C7F9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C9A1C" w14:textId="77777777" w:rsidR="000C7F92" w:rsidRPr="000C7F92" w:rsidRDefault="000C7F92" w:rsidP="000C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0E955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42E75" w14:textId="77777777" w:rsidR="000C7F92" w:rsidRPr="000C7F92" w:rsidRDefault="000C7F92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70A68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711B1" w14:textId="77777777" w:rsidR="000C7F92" w:rsidRPr="000C7F92" w:rsidRDefault="000C7F92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Тип значения на странице по ссылке</w:t>
            </w:r>
          </w:p>
        </w:tc>
      </w:tr>
      <w:tr w:rsidR="00B266F7" w:rsidRPr="000C7F92" w14:paraId="0D43A760" w14:textId="77777777" w:rsidTr="00B266F7">
        <w:trPr>
          <w:trHeight w:val="300"/>
        </w:trPr>
        <w:tc>
          <w:tcPr>
            <w:tcW w:w="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B2FAF" w14:textId="77777777" w:rsidR="00B266F7" w:rsidRPr="000C7F92" w:rsidRDefault="00B266F7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0FBC8" w14:textId="4EEC4345" w:rsidR="00B266F7" w:rsidRPr="00B266F7" w:rsidRDefault="00B266F7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266F7">
              <w:rPr>
                <w:rFonts w:ascii="Times New Roman" w:hAnsi="Times New Roman"/>
                <w:bCs/>
                <w:iCs/>
                <w:sz w:val="20"/>
                <w:lang w:val="en-US" w:eastAsia="en-US"/>
              </w:rPr>
              <w:t>SAP SE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7EBC5" w14:textId="46435A7D" w:rsidR="00B266F7" w:rsidRPr="00B266F7" w:rsidRDefault="00B266F7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266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C9C50" w14:textId="2DCDCD45" w:rsidR="00B266F7" w:rsidRPr="00B266F7" w:rsidRDefault="00B266F7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266F7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DE0007164600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5884C" w14:textId="3DEA381C" w:rsidR="00B266F7" w:rsidRPr="00B266F7" w:rsidRDefault="00B266F7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266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AA046" w14:textId="461CB198" w:rsidR="00B266F7" w:rsidRPr="00B266F7" w:rsidRDefault="00B266F7" w:rsidP="000C7F92">
            <w:pPr>
              <w:spacing w:before="60"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266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Франкфуртская биржа (Deutsche Boerse Xetra)</w:t>
            </w:r>
          </w:p>
        </w:tc>
      </w:tr>
      <w:tr w:rsidR="00B266F7" w:rsidRPr="000C7F92" w14:paraId="2D77FA0F" w14:textId="77777777" w:rsidTr="00B266F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8D0C8" w14:textId="77777777" w:rsidR="00B266F7" w:rsidRPr="00B266F7" w:rsidRDefault="00B266F7" w:rsidP="000C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E90B9" w14:textId="77777777" w:rsidR="00B266F7" w:rsidRPr="00B266F7" w:rsidRDefault="00B266F7" w:rsidP="000C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30405" w14:textId="08E160BB" w:rsidR="00B266F7" w:rsidRPr="00B266F7" w:rsidRDefault="00B266F7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266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DDC34" w14:textId="02AD91C0" w:rsidR="00B266F7" w:rsidRPr="00B266F7" w:rsidRDefault="00B266F7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266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Евро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58D0F" w14:textId="0D569D6C" w:rsidR="00B266F7" w:rsidRPr="00B266F7" w:rsidRDefault="00B266F7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266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14DF2" w14:textId="4CC60F29" w:rsidR="00B266F7" w:rsidRPr="00B266F7" w:rsidRDefault="00B266F7" w:rsidP="000C7F92">
            <w:pPr>
              <w:spacing w:after="0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  <w:lang w:eastAsia="en-US"/>
              </w:rPr>
            </w:pPr>
            <w:r w:rsidRPr="00B266F7">
              <w:rPr>
                <w:rFonts w:ascii="Times New Roman" w:hAnsi="Times New Roman"/>
                <w:color w:val="0563C1"/>
                <w:sz w:val="20"/>
                <w:szCs w:val="20"/>
                <w:u w:val="single"/>
                <w:lang w:eastAsia="en-US"/>
              </w:rPr>
              <w:t>https://www.boerse-frankfurt.de/equity/sap-se/price-history/historical-prices-and-volumes</w:t>
            </w:r>
          </w:p>
        </w:tc>
      </w:tr>
      <w:tr w:rsidR="00B266F7" w:rsidRPr="00DD1D2C" w14:paraId="316FA35F" w14:textId="77777777" w:rsidTr="00B266F7">
        <w:trPr>
          <w:trHeight w:val="4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0CD50" w14:textId="77777777" w:rsidR="00B266F7" w:rsidRPr="000C7F92" w:rsidRDefault="00B266F7" w:rsidP="000C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17B48" w14:textId="77777777" w:rsidR="00B266F7" w:rsidRPr="00B266F7" w:rsidRDefault="00B266F7" w:rsidP="000C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377DC" w14:textId="7255821E" w:rsidR="00B266F7" w:rsidRPr="00B266F7" w:rsidRDefault="00B266F7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266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A12C1" w14:textId="68E24020" w:rsidR="00B266F7" w:rsidRPr="00B266F7" w:rsidRDefault="00B266F7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266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E5C2B" w14:textId="345F5B95" w:rsidR="00B266F7" w:rsidRPr="00B266F7" w:rsidRDefault="00B266F7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266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3. 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2A062" w14:textId="169E4B55" w:rsidR="00B266F7" w:rsidRPr="00B266F7" w:rsidRDefault="00B266F7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B266F7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Market place – Xetra; Price History, </w:t>
            </w:r>
            <w:r w:rsidRPr="00B266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значение</w:t>
            </w:r>
            <w:r w:rsidRPr="00B266F7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Close</w:t>
            </w:r>
          </w:p>
        </w:tc>
      </w:tr>
    </w:tbl>
    <w:p w14:paraId="22DB5033" w14:textId="77777777" w:rsidR="000C7F92" w:rsidRPr="000C7F92" w:rsidRDefault="000C7F92" w:rsidP="000C7F92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0C7F92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52A08274" w14:textId="77777777" w:rsidR="000C7F92" w:rsidRPr="000C7F92" w:rsidRDefault="000C7F92" w:rsidP="000C7F92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0C7F92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0C7F92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0C7F92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0C7F92">
        <w:rPr>
          <w:rFonts w:ascii="Times New Roman" w:eastAsia="Times New Roman" w:hAnsi="Times New Roman"/>
          <w:i/>
          <w:szCs w:val="20"/>
        </w:rPr>
        <w:t xml:space="preserve"> </w:t>
      </w:r>
      <w:r w:rsidRPr="000C7F92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0C7F92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0C7F92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0C7F92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72B97261" w14:textId="77777777" w:rsidR="000C7F92" w:rsidRPr="000C7F92" w:rsidRDefault="000C7F92" w:rsidP="000C7F9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0C7F92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0C7F92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0C7F92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0C7F92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4F65F610" w14:textId="77777777" w:rsidR="000C7F92" w:rsidRPr="000C7F92" w:rsidRDefault="000C7F92" w:rsidP="000C7F9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0C7F92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0C7F92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B905782" w14:textId="77777777" w:rsidR="000C7F92" w:rsidRPr="000543E7" w:rsidRDefault="000C7F92" w:rsidP="000C7F92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bCs/>
          <w:iCs/>
          <w:szCs w:val="20"/>
        </w:rPr>
      </w:pPr>
      <w:r w:rsidRPr="000C7F92">
        <w:rPr>
          <w:rFonts w:ascii="Times New Roman" w:eastAsia="Times New Roman" w:hAnsi="Times New Roman"/>
          <w:bCs/>
          <w:iCs/>
          <w:szCs w:val="20"/>
        </w:rPr>
        <w:lastRenderedPageBreak/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4B7A0FAF" w:rsidR="00C64711" w:rsidRPr="00CF2E82" w:rsidRDefault="00C64711" w:rsidP="000C7F9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D63D522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0C7F92" w:rsidRPr="000C7F92">
        <w:rPr>
          <w:rFonts w:ascii="Times New Roman" w:hAnsi="Times New Roman"/>
          <w:b/>
          <w:bCs/>
          <w:i/>
          <w:iCs/>
        </w:rPr>
        <w:t>182</w:t>
      </w:r>
      <w:r w:rsidR="00FB0620" w:rsidRPr="00FB0620">
        <w:rPr>
          <w:rFonts w:ascii="Times New Roman" w:hAnsi="Times New Roman"/>
          <w:b/>
          <w:bCs/>
          <w:i/>
          <w:iCs/>
        </w:rPr>
        <w:t>-ой (</w:t>
      </w:r>
      <w:r w:rsidR="000C7F92" w:rsidRPr="000C7F92">
        <w:rPr>
          <w:rFonts w:ascii="Times New Roman" w:hAnsi="Times New Roman"/>
          <w:b/>
          <w:bCs/>
          <w:i/>
          <w:iCs/>
        </w:rPr>
        <w:t>Сто восемьдесят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FD250" w14:textId="77777777" w:rsidR="00AC6279" w:rsidRDefault="00AC6279" w:rsidP="0053664B">
      <w:pPr>
        <w:spacing w:after="0" w:line="240" w:lineRule="auto"/>
      </w:pPr>
      <w:r>
        <w:separator/>
      </w:r>
    </w:p>
  </w:endnote>
  <w:endnote w:type="continuationSeparator" w:id="0">
    <w:p w14:paraId="66A50B65" w14:textId="77777777" w:rsidR="00AC6279" w:rsidRDefault="00AC6279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50A048D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0C6653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0AC4C" w14:textId="77777777" w:rsidR="00AC6279" w:rsidRDefault="00AC6279" w:rsidP="0053664B">
      <w:pPr>
        <w:spacing w:after="0" w:line="240" w:lineRule="auto"/>
      </w:pPr>
      <w:r>
        <w:separator/>
      </w:r>
    </w:p>
  </w:footnote>
  <w:footnote w:type="continuationSeparator" w:id="0">
    <w:p w14:paraId="0BB1EA3B" w14:textId="77777777" w:rsidR="00AC6279" w:rsidRDefault="00AC6279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543E7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6653"/>
    <w:rsid w:val="000C7C26"/>
    <w:rsid w:val="000C7F92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1EB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86F88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27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66F7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D2C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21E39942-9272-4380-AFD8-D7F26799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5563E-F7DC-48EE-B604-78E577E0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4817</Words>
  <Characters>27460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2020-11-23T12:04:00Z</dcterms:created>
  <dcterms:modified xsi:type="dcterms:W3CDTF">2020-11-23T12:04:00Z</dcterms:modified>
</cp:coreProperties>
</file>