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C01D5CF" w:rsidR="00996E29" w:rsidRPr="004967FC" w:rsidRDefault="00433C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1F45859" w:rsidR="00996E29" w:rsidRPr="001A7ABD" w:rsidRDefault="00433CF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840C2E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33CFC" w:rsidRPr="00433CFC">
        <w:rPr>
          <w:rFonts w:ascii="Times New Roman" w:hAnsi="Times New Roman"/>
          <w:b/>
          <w:bCs/>
          <w:i/>
          <w:iCs/>
          <w:sz w:val="24"/>
          <w:szCs w:val="24"/>
        </w:rPr>
        <w:t>61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F262F" w:rsidRPr="00AF262F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08729C" w:rsidRPr="00AF262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AF262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F262F" w:rsidRPr="00AF262F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80C470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33CFC" w:rsidRPr="00433CFC">
        <w:rPr>
          <w:rFonts w:ascii="Times New Roman" w:hAnsi="Times New Roman"/>
          <w:b/>
          <w:bCs/>
          <w:i/>
          <w:iCs/>
          <w:color w:val="000000"/>
        </w:rPr>
        <w:t>61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08AB15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33CFC" w:rsidRPr="00433CFC">
        <w:rPr>
          <w:b/>
          <w:i/>
          <w:sz w:val="22"/>
          <w:szCs w:val="22"/>
        </w:rPr>
        <w:t>61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366B50D" w:rsidR="00610E7E" w:rsidRPr="00FC2AE6" w:rsidRDefault="00AF262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33CFC">
        <w:rPr>
          <w:b/>
          <w:bCs/>
          <w:i/>
          <w:iCs/>
          <w:sz w:val="22"/>
          <w:szCs w:val="22"/>
        </w:rPr>
        <w:t>4</w:t>
      </w:r>
      <w:r w:rsidR="0008729C" w:rsidRPr="00AF262F">
        <w:rPr>
          <w:b/>
          <w:bCs/>
          <w:i/>
          <w:iCs/>
          <w:sz w:val="22"/>
          <w:szCs w:val="22"/>
        </w:rPr>
        <w:t>0</w:t>
      </w:r>
      <w:r w:rsidR="00180B91" w:rsidRPr="00AF262F">
        <w:rPr>
          <w:b/>
          <w:bCs/>
          <w:i/>
          <w:iCs/>
          <w:sz w:val="22"/>
          <w:szCs w:val="22"/>
        </w:rPr>
        <w:t>0 000 (</w:t>
      </w:r>
      <w:r w:rsidRPr="00433CFC">
        <w:rPr>
          <w:b/>
          <w:bCs/>
          <w:i/>
          <w:iCs/>
          <w:sz w:val="22"/>
          <w:szCs w:val="22"/>
        </w:rPr>
        <w:t>Четыреста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406C108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33CFC" w:rsidRPr="00433CFC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CD81385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871B573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D4AD857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4B5A5A18" w14:textId="77777777" w:rsidR="00422966" w:rsidRPr="00422966" w:rsidRDefault="00422966" w:rsidP="00422966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22966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643F3869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68641159" w14:textId="49109B4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22966">
        <w:rPr>
          <w:rFonts w:ascii="Times New Roman" w:eastAsia="Times New Roman" w:hAnsi="Times New Roman"/>
          <w:szCs w:val="20"/>
        </w:rPr>
        <w:t xml:space="preserve"> –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величина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229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1FA712D" w14:textId="77777777" w:rsidR="00422966" w:rsidRPr="00422966" w:rsidRDefault="00422966" w:rsidP="00422966">
      <w:pPr>
        <w:spacing w:before="120" w:after="0"/>
        <w:rPr>
          <w:rFonts w:ascii="Times New Roman" w:eastAsia="Times New Roman" w:hAnsi="Times New Roman"/>
          <w:color w:val="1F497D"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22966">
        <w:rPr>
          <w:rFonts w:ascii="Times New Roman" w:eastAsia="Times New Roman" w:hAnsi="Times New Roman"/>
          <w:b/>
          <w:i/>
          <w:szCs w:val="20"/>
        </w:rPr>
        <w:t>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FD4B020" w14:textId="3307E7CB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*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>(0);</w:t>
      </w:r>
    </w:p>
    <w:p w14:paraId="7D75A139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4B7139A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422966">
        <w:rPr>
          <w:rFonts w:ascii="Times New Roman" w:eastAsia="Times New Roman" w:hAnsi="Times New Roman"/>
          <w:i/>
          <w:szCs w:val="20"/>
        </w:rPr>
        <w:t>(</w:t>
      </w:r>
      <w:r w:rsidRPr="0042296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1E77B338" w14:textId="7777777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229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22966">
        <w:rPr>
          <w:rFonts w:ascii="Times New Roman" w:eastAsia="Times New Roman" w:hAnsi="Times New Roman"/>
          <w:b/>
          <w:i/>
          <w:szCs w:val="20"/>
        </w:rPr>
        <w:t>j</w:t>
      </w:r>
      <w:r w:rsidRPr="00422966">
        <w:rPr>
          <w:rFonts w:ascii="Times New Roman" w:eastAsia="Times New Roman" w:hAnsi="Times New Roman"/>
          <w:b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= 1); </w:t>
      </w:r>
    </w:p>
    <w:p w14:paraId="71232EA0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2-й (Второй) Торговый день, предшествующий Дате выплаты дополнительного дохода. 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6DC0B4AC" w14:textId="77777777" w:rsidR="00422966" w:rsidRPr="00422966" w:rsidRDefault="00422966" w:rsidP="00422966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422966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422966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422966">
        <w:rPr>
          <w:rFonts w:ascii="Times New Roman" w:eastAsia="Times New Roman" w:hAnsi="Times New Roman"/>
          <w:bCs/>
          <w:iCs/>
          <w:szCs w:val="20"/>
        </w:rPr>
        <w:t>.</w:t>
      </w:r>
    </w:p>
    <w:p w14:paraId="14E010C4" w14:textId="77777777" w:rsidR="00422966" w:rsidRPr="00422966" w:rsidRDefault="00422966" w:rsidP="00422966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422966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922" w:type="dxa"/>
        <w:tblInd w:w="108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F245D7" w:rsidRPr="00422966" w14:paraId="481994C5" w14:textId="77777777" w:rsidTr="00A77572">
        <w:tc>
          <w:tcPr>
            <w:tcW w:w="3969" w:type="dxa"/>
            <w:vAlign w:val="center"/>
          </w:tcPr>
          <w:p w14:paraId="72EFE06E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Наименование эмитента Референсного актива: </w:t>
            </w:r>
          </w:p>
        </w:tc>
        <w:tc>
          <w:tcPr>
            <w:tcW w:w="5953" w:type="dxa"/>
          </w:tcPr>
          <w:p w14:paraId="7781C2C2" w14:textId="156A80DD" w:rsidR="00F245D7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433CFC">
              <w:rPr>
                <w:rFonts w:ascii="Times New Roman" w:hAnsi="Times New Roman" w:cs="Times New Roman"/>
              </w:rPr>
              <w:t>Полиметалл Интернэшнл плс</w:t>
            </w:r>
          </w:p>
        </w:tc>
      </w:tr>
      <w:tr w:rsidR="00433CFC" w:rsidRPr="00422966" w14:paraId="22772ACA" w14:textId="77777777" w:rsidTr="00AF6AB8">
        <w:tc>
          <w:tcPr>
            <w:tcW w:w="3969" w:type="dxa"/>
            <w:vAlign w:val="center"/>
          </w:tcPr>
          <w:p w14:paraId="186D32FE" w14:textId="77777777" w:rsidR="00433CFC" w:rsidRPr="00422966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ISIN: </w:t>
            </w:r>
          </w:p>
        </w:tc>
        <w:tc>
          <w:tcPr>
            <w:tcW w:w="5953" w:type="dxa"/>
            <w:vAlign w:val="center"/>
          </w:tcPr>
          <w:p w14:paraId="304A038E" w14:textId="13BEB5E5" w:rsidR="00433CFC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433CFC">
              <w:rPr>
                <w:rFonts w:ascii="Times New Roman" w:hAnsi="Times New Roman" w:cs="Times New Roman"/>
                <w:color w:val="000000"/>
              </w:rPr>
              <w:t>JE00B6T5S470</w:t>
            </w:r>
          </w:p>
        </w:tc>
      </w:tr>
      <w:tr w:rsidR="00433CFC" w:rsidRPr="00422966" w14:paraId="6C2C78D3" w14:textId="77777777" w:rsidTr="00AF6AB8">
        <w:tc>
          <w:tcPr>
            <w:tcW w:w="3969" w:type="dxa"/>
            <w:vAlign w:val="center"/>
          </w:tcPr>
          <w:p w14:paraId="50B156CE" w14:textId="77777777" w:rsidR="00433CFC" w:rsidRPr="00422966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953" w:type="dxa"/>
            <w:vAlign w:val="center"/>
          </w:tcPr>
          <w:p w14:paraId="3E5C0B5B" w14:textId="4F74A8AB" w:rsidR="00433CFC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3CFC">
              <w:rPr>
                <w:rFonts w:ascii="Times New Roman" w:hAnsi="Times New Roman" w:cs="Times New Roman"/>
                <w:color w:val="000000"/>
              </w:rPr>
              <w:t>Российский рубль</w:t>
            </w:r>
          </w:p>
        </w:tc>
      </w:tr>
      <w:tr w:rsidR="00433CFC" w:rsidRPr="00422966" w14:paraId="13335EA7" w14:textId="77777777" w:rsidTr="00AF6AB8">
        <w:tc>
          <w:tcPr>
            <w:tcW w:w="3969" w:type="dxa"/>
            <w:vAlign w:val="center"/>
          </w:tcPr>
          <w:p w14:paraId="01241D88" w14:textId="77777777" w:rsidR="00433CFC" w:rsidRPr="00422966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953" w:type="dxa"/>
            <w:vAlign w:val="center"/>
          </w:tcPr>
          <w:p w14:paraId="618DAD04" w14:textId="0A6AF8E7" w:rsidR="00433CFC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</w:pPr>
            <w:r w:rsidRPr="00433CFC">
              <w:rPr>
                <w:rFonts w:ascii="Times New Roman" w:hAnsi="Times New Roman" w:cs="Times New Roman"/>
                <w:color w:val="000000"/>
              </w:rPr>
              <w:t>Московская биржа</w:t>
            </w:r>
          </w:p>
        </w:tc>
      </w:tr>
      <w:tr w:rsidR="00F245D7" w:rsidRPr="00422966" w14:paraId="3FB75C04" w14:textId="77777777" w:rsidTr="00A77572">
        <w:tc>
          <w:tcPr>
            <w:tcW w:w="3969" w:type="dxa"/>
            <w:vAlign w:val="center"/>
          </w:tcPr>
          <w:p w14:paraId="34C2F6B3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953" w:type="dxa"/>
          </w:tcPr>
          <w:p w14:paraId="367EF630" w14:textId="72B47003" w:rsidR="00F245D7" w:rsidRPr="00433CFC" w:rsidRDefault="000717DE" w:rsidP="0042296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433CFC" w:rsidRPr="00433CFC">
                <w:rPr>
                  <w:rStyle w:val="a6"/>
                  <w:rFonts w:ascii="Times New Roman" w:hAnsi="Times New Roman"/>
                </w:rPr>
                <w:t>https://www.moex.com/ru/issue.aspx?code=POLY</w:t>
              </w:r>
            </w:hyperlink>
            <w:r w:rsidR="00433CFC" w:rsidRPr="00433C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45D7" w:rsidRPr="00422966" w14:paraId="30C34E19" w14:textId="77777777" w:rsidTr="00A77572">
        <w:tc>
          <w:tcPr>
            <w:tcW w:w="3969" w:type="dxa"/>
            <w:vAlign w:val="center"/>
          </w:tcPr>
          <w:p w14:paraId="7851D15A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953" w:type="dxa"/>
          </w:tcPr>
          <w:p w14:paraId="75D969F8" w14:textId="305F9EF6" w:rsidR="00F245D7" w:rsidRPr="00433CFC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3CFC">
              <w:rPr>
                <w:rFonts w:ascii="Times New Roman" w:hAnsi="Times New Roman" w:cs="Times New Roman"/>
              </w:rPr>
              <w:t>Значение "Цена закрытия"</w:t>
            </w:r>
          </w:p>
        </w:tc>
      </w:tr>
    </w:tbl>
    <w:p w14:paraId="4F97EA6D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2092D2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5168EBC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D6E7A0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24CD73B" w:rsidR="00C64711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  <w:r w:rsidRPr="004229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00A3F728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22966">
        <w:rPr>
          <w:rFonts w:ascii="Times New Roman" w:hAnsi="Times New Roman"/>
          <w:b/>
          <w:bCs/>
          <w:i/>
          <w:iCs/>
        </w:rPr>
        <w:t>1</w:t>
      </w:r>
      <w:r w:rsidR="00422966" w:rsidRPr="00422966">
        <w:rPr>
          <w:rFonts w:ascii="Times New Roman" w:hAnsi="Times New Roman"/>
          <w:b/>
          <w:bCs/>
          <w:i/>
          <w:iCs/>
        </w:rPr>
        <w:t>82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Сто восемьдесят</w:t>
      </w:r>
      <w:r w:rsidRPr="00DC14A6">
        <w:rPr>
          <w:rFonts w:ascii="Times New Roman" w:hAnsi="Times New Roman"/>
          <w:b/>
          <w:bCs/>
          <w:i/>
          <w:iCs/>
        </w:rPr>
        <w:t xml:space="preserve"> второй)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6B6E" w14:textId="77777777" w:rsidR="000717DE" w:rsidRDefault="000717DE" w:rsidP="0053664B">
      <w:pPr>
        <w:spacing w:after="0" w:line="240" w:lineRule="auto"/>
      </w:pPr>
      <w:r>
        <w:separator/>
      </w:r>
    </w:p>
  </w:endnote>
  <w:endnote w:type="continuationSeparator" w:id="0">
    <w:p w14:paraId="22250CAB" w14:textId="77777777" w:rsidR="000717DE" w:rsidRDefault="000717D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4A3691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D695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ED634" w14:textId="77777777" w:rsidR="000717DE" w:rsidRDefault="000717DE" w:rsidP="0053664B">
      <w:pPr>
        <w:spacing w:after="0" w:line="240" w:lineRule="auto"/>
      </w:pPr>
      <w:r>
        <w:separator/>
      </w:r>
    </w:p>
  </w:footnote>
  <w:footnote w:type="continuationSeparator" w:id="0">
    <w:p w14:paraId="3E2A56B5" w14:textId="77777777" w:rsidR="000717DE" w:rsidRDefault="000717D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17DE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3CFC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364C4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62F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D6958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6C84016-96C2-499E-8A21-A7F11CA8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POLY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6972-4A83-464F-A951-4313ACD9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4815</Words>
  <Characters>27450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2020-12-21T15:36:00Z</dcterms:created>
  <dcterms:modified xsi:type="dcterms:W3CDTF">2020-12-21T15:36:00Z</dcterms:modified>
</cp:coreProperties>
</file>