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6508C5E8" w:rsidR="00996E29" w:rsidRPr="004967FC" w:rsidRDefault="005642CF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5ACA3DB" w:rsidR="00996E29" w:rsidRPr="001A7ABD" w:rsidRDefault="005642CF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A4BFAB9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642CF" w:rsidRPr="005642CF">
        <w:rPr>
          <w:rFonts w:ascii="Times New Roman" w:hAnsi="Times New Roman"/>
          <w:b/>
          <w:bCs/>
          <w:i/>
          <w:iCs/>
          <w:sz w:val="24"/>
          <w:szCs w:val="24"/>
        </w:rPr>
        <w:t>69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90B59" w:rsidRPr="00A90B59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AC68EA" w:rsidRPr="00AC68EA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A90B59" w:rsidRPr="00A90B59">
        <w:rPr>
          <w:rFonts w:ascii="Times New Roman" w:hAnsi="Times New Roman"/>
          <w:b/>
          <w:bCs/>
          <w:i/>
          <w:iCs/>
          <w:sz w:val="24"/>
          <w:szCs w:val="24"/>
        </w:rPr>
        <w:t>Семьсот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642CF" w:rsidRPr="005642CF">
        <w:rPr>
          <w:rFonts w:ascii="Times New Roman" w:hAnsi="Times New Roman"/>
          <w:b/>
          <w:bCs/>
          <w:i/>
          <w:iCs/>
          <w:sz w:val="24"/>
          <w:szCs w:val="24"/>
        </w:rPr>
        <w:t>102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5642CF" w:rsidRPr="005642CF">
        <w:rPr>
          <w:rFonts w:ascii="Times New Roman" w:hAnsi="Times New Roman"/>
          <w:b/>
          <w:bCs/>
          <w:i/>
          <w:iCs/>
          <w:sz w:val="24"/>
          <w:szCs w:val="24"/>
        </w:rPr>
        <w:t>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60132A0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5642CF" w:rsidRPr="005642CF">
        <w:rPr>
          <w:rFonts w:ascii="Times New Roman" w:hAnsi="Times New Roman"/>
          <w:b/>
          <w:bCs/>
          <w:i/>
          <w:iCs/>
          <w:color w:val="000000"/>
        </w:rPr>
        <w:t>69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EDE926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5642CF" w:rsidRPr="005642CF">
        <w:rPr>
          <w:b/>
          <w:i/>
          <w:sz w:val="22"/>
          <w:szCs w:val="22"/>
        </w:rPr>
        <w:t>69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5642CF" w:rsidRPr="005642CF">
        <w:rPr>
          <w:b/>
          <w:i/>
          <w:sz w:val="22"/>
          <w:szCs w:val="22"/>
        </w:rPr>
        <w:t>20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5642CF" w:rsidRPr="005642CF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0BCD31D" w:rsidR="00610E7E" w:rsidRPr="00FC2AE6" w:rsidRDefault="00A90B59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7</w:t>
      </w:r>
      <w:r w:rsidR="00AC68EA" w:rsidRPr="0061549C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Семьсот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3247ACF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1549C" w:rsidRPr="0061549C">
        <w:rPr>
          <w:b/>
          <w:bCs/>
          <w:i/>
          <w:iCs/>
          <w:color w:val="000000" w:themeColor="text1"/>
          <w:sz w:val="22"/>
          <w:szCs w:val="22"/>
        </w:rPr>
        <w:t>31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01413A" w:rsidRPr="0001413A">
        <w:rPr>
          <w:b/>
          <w:bCs/>
          <w:i/>
          <w:iCs/>
          <w:color w:val="000000" w:themeColor="text1"/>
          <w:sz w:val="22"/>
          <w:szCs w:val="22"/>
        </w:rPr>
        <w:t>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A90B59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50574C8A" w14:textId="77777777" w:rsidR="005642CF" w:rsidRPr="005642CF" w:rsidRDefault="005642CF" w:rsidP="005642C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5642CF">
        <w:rPr>
          <w:rFonts w:ascii="Times New Roman" w:eastAsia="Times New Roman" w:hAnsi="Times New Roman"/>
          <w:b/>
          <w:bCs/>
          <w:i/>
          <w:iCs/>
          <w:szCs w:val="24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</w:rPr>
        <w:t>):</w:t>
      </w:r>
    </w:p>
    <w:p w14:paraId="40201EE1" w14:textId="77777777" w:rsidR="005642CF" w:rsidRPr="005642CF" w:rsidRDefault="005642CF" w:rsidP="005642CF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iCs/>
          <w:szCs w:val="24"/>
        </w:rPr>
      </w:pPr>
      <w:r w:rsidRPr="005642CF">
        <w:rPr>
          <w:rFonts w:ascii="Times New Roman" w:eastAsia="Times New Roman" w:hAnsi="Times New Roman"/>
          <w:bCs/>
          <w:i/>
          <w:iCs/>
          <w:szCs w:val="24"/>
        </w:rPr>
        <w:t xml:space="preserve">В случае если величина </w:t>
      </w:r>
      <w:r w:rsidRPr="005642CF">
        <w:rPr>
          <w:rFonts w:ascii="Times New Roman" w:eastAsia="Times New Roman" w:hAnsi="Times New Roman"/>
          <w:bCs/>
          <w:i/>
          <w:iCs/>
          <w:szCs w:val="24"/>
          <w:lang w:val="en-US"/>
        </w:rPr>
        <w:t>S</w:t>
      </w:r>
      <w:r w:rsidRPr="005642CF">
        <w:rPr>
          <w:rFonts w:ascii="Times New Roman" w:eastAsia="Times New Roman" w:hAnsi="Times New Roman"/>
          <w:bCs/>
          <w:i/>
          <w:iCs/>
          <w:szCs w:val="24"/>
          <w:vertAlign w:val="subscript"/>
          <w:lang w:val="en-US"/>
        </w:rPr>
        <w:t>i</w:t>
      </w:r>
      <w:r w:rsidRPr="005642CF">
        <w:rPr>
          <w:rFonts w:ascii="Times New Roman" w:eastAsia="Times New Roman" w:hAnsi="Times New Roman"/>
          <w:bCs/>
          <w:i/>
          <w:iCs/>
          <w:szCs w:val="24"/>
        </w:rPr>
        <w:t xml:space="preserve">(j) / </w:t>
      </w:r>
      <w:r w:rsidRPr="005642CF">
        <w:rPr>
          <w:rFonts w:ascii="Times New Roman" w:eastAsia="Times New Roman" w:hAnsi="Times New Roman"/>
          <w:bCs/>
          <w:i/>
          <w:iCs/>
          <w:szCs w:val="24"/>
          <w:lang w:val="en-US"/>
        </w:rPr>
        <w:t>S</w:t>
      </w:r>
      <w:r w:rsidRPr="005642CF">
        <w:rPr>
          <w:rFonts w:ascii="Times New Roman" w:eastAsia="Times New Roman" w:hAnsi="Times New Roman"/>
          <w:bCs/>
          <w:i/>
          <w:iCs/>
          <w:szCs w:val="24"/>
          <w:vertAlign w:val="subscript"/>
          <w:lang w:val="en-US"/>
        </w:rPr>
        <w:t>i</w:t>
      </w:r>
      <w:r w:rsidRPr="005642CF">
        <w:rPr>
          <w:rFonts w:ascii="Times New Roman" w:eastAsia="Times New Roman" w:hAnsi="Times New Roman"/>
          <w:bCs/>
          <w:i/>
          <w:iCs/>
          <w:szCs w:val="24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2B4D61ED" w14:textId="77777777" w:rsidR="005642CF" w:rsidRPr="005642CF" w:rsidRDefault="005642CF" w:rsidP="005642CF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iCs/>
          <w:szCs w:val="24"/>
        </w:rPr>
      </w:pPr>
      <w:r w:rsidRPr="005642CF">
        <w:rPr>
          <w:rFonts w:ascii="Times New Roman" w:eastAsia="Times New Roman" w:hAnsi="Times New Roman"/>
          <w:bCs/>
          <w:i/>
          <w:iCs/>
          <w:szCs w:val="24"/>
        </w:rPr>
        <w:t xml:space="preserve">В случае если величина </w:t>
      </w:r>
      <w:r w:rsidRPr="005642CF">
        <w:rPr>
          <w:rFonts w:ascii="Times New Roman" w:eastAsia="Times New Roman" w:hAnsi="Times New Roman"/>
          <w:bCs/>
          <w:i/>
          <w:iCs/>
          <w:szCs w:val="24"/>
          <w:lang w:val="en-US"/>
        </w:rPr>
        <w:t>S</w:t>
      </w:r>
      <w:r w:rsidRPr="005642CF">
        <w:rPr>
          <w:rFonts w:ascii="Times New Roman" w:eastAsia="Times New Roman" w:hAnsi="Times New Roman"/>
          <w:bCs/>
          <w:i/>
          <w:iCs/>
          <w:szCs w:val="24"/>
          <w:vertAlign w:val="subscript"/>
          <w:lang w:val="en-US"/>
        </w:rPr>
        <w:t>i</w:t>
      </w:r>
      <w:r w:rsidRPr="005642CF">
        <w:rPr>
          <w:rFonts w:ascii="Times New Roman" w:eastAsia="Times New Roman" w:hAnsi="Times New Roman"/>
          <w:bCs/>
          <w:i/>
          <w:iCs/>
          <w:szCs w:val="24"/>
        </w:rPr>
        <w:t xml:space="preserve">(j) / </w:t>
      </w:r>
      <w:r w:rsidRPr="005642CF">
        <w:rPr>
          <w:rFonts w:ascii="Times New Roman" w:eastAsia="Times New Roman" w:hAnsi="Times New Roman"/>
          <w:bCs/>
          <w:i/>
          <w:iCs/>
          <w:szCs w:val="24"/>
          <w:lang w:val="en-US"/>
        </w:rPr>
        <w:t>S</w:t>
      </w:r>
      <w:r w:rsidRPr="005642CF">
        <w:rPr>
          <w:rFonts w:ascii="Times New Roman" w:eastAsia="Times New Roman" w:hAnsi="Times New Roman"/>
          <w:bCs/>
          <w:i/>
          <w:iCs/>
          <w:szCs w:val="24"/>
          <w:vertAlign w:val="subscript"/>
          <w:lang w:val="en-US"/>
        </w:rPr>
        <w:t>i</w:t>
      </w:r>
      <w:r w:rsidRPr="005642CF">
        <w:rPr>
          <w:rFonts w:ascii="Times New Roman" w:eastAsia="Times New Roman" w:hAnsi="Times New Roman"/>
          <w:bCs/>
          <w:i/>
          <w:iCs/>
          <w:szCs w:val="24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52B27FD0" w14:textId="77777777" w:rsidR="005642CF" w:rsidRPr="005642CF" w:rsidRDefault="005642CF" w:rsidP="005642CF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4"/>
        </w:rPr>
      </w:pPr>
    </w:p>
    <w:p w14:paraId="24DE29AD" w14:textId="77777777" w:rsidR="005642CF" w:rsidRPr="005642CF" w:rsidRDefault="005642CF" w:rsidP="005642CF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5642CF">
        <w:rPr>
          <w:rFonts w:ascii="Times New Roman" w:eastAsia="Times New Roman" w:hAnsi="Times New Roman"/>
          <w:b/>
          <w:bCs/>
          <w:i/>
          <w:iCs/>
          <w:szCs w:val="24"/>
        </w:rPr>
        <w:t>Ставка дополнительного дохода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  <w:vertAlign w:val="subscript"/>
          <w:lang w:val="en-US"/>
        </w:rPr>
        <w:t>j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  <w:vertAlign w:val="subscript"/>
        </w:rPr>
        <w:t xml:space="preserve"> 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</w:rPr>
        <w:t xml:space="preserve">= 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n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</w:rPr>
        <w:t xml:space="preserve"> * 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R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</w:rPr>
        <w:t xml:space="preserve"> / 2</w:t>
      </w:r>
      <w:r w:rsidRPr="005642CF">
        <w:rPr>
          <w:rFonts w:ascii="Times New Roman" w:eastAsia="Times New Roman" w:hAnsi="Times New Roman"/>
          <w:bCs/>
          <w:i/>
          <w:iCs/>
          <w:szCs w:val="24"/>
        </w:rPr>
        <w:t xml:space="preserve">, </w:t>
      </w:r>
      <w:r w:rsidRPr="005642CF">
        <w:rPr>
          <w:rFonts w:ascii="Times New Roman" w:eastAsia="Times New Roman" w:hAnsi="Times New Roman"/>
          <w:szCs w:val="24"/>
        </w:rPr>
        <w:t>где:</w:t>
      </w:r>
    </w:p>
    <w:p w14:paraId="79F1A6E3" w14:textId="2DD054F6" w:rsidR="005642CF" w:rsidRPr="005642CF" w:rsidRDefault="005642CF" w:rsidP="005642C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5642CF">
        <w:rPr>
          <w:rFonts w:ascii="Times New Roman" w:eastAsia="Times New Roman" w:hAnsi="Times New Roman"/>
          <w:b/>
          <w:i/>
          <w:szCs w:val="24"/>
          <w:lang w:val="en-US"/>
        </w:rPr>
        <w:t>R</w:t>
      </w:r>
      <w:r w:rsidRPr="005642CF">
        <w:rPr>
          <w:rFonts w:ascii="Times New Roman" w:eastAsia="Times New Roman" w:hAnsi="Times New Roman"/>
          <w:szCs w:val="24"/>
        </w:rPr>
        <w:t xml:space="preserve"> –</w:t>
      </w:r>
      <w:r w:rsidRPr="005642CF">
        <w:rPr>
          <w:rFonts w:ascii="Times New Roman" w:eastAsia="Times New Roman" w:hAnsi="Times New Roman"/>
          <w:b/>
          <w:i/>
          <w:szCs w:val="24"/>
        </w:rPr>
        <w:t xml:space="preserve"> </w:t>
      </w:r>
      <w:r w:rsidRPr="005642CF">
        <w:rPr>
          <w:rFonts w:ascii="Times New Roman" w:eastAsia="Times New Roman" w:hAnsi="Times New Roman"/>
          <w:szCs w:val="24"/>
        </w:rPr>
        <w:t>величина</w:t>
      </w:r>
      <w:r w:rsidRPr="005642CF">
        <w:rPr>
          <w:rFonts w:ascii="Times New Roman" w:eastAsia="Times New Roman" w:hAnsi="Times New Roman"/>
          <w:b/>
          <w:i/>
          <w:szCs w:val="24"/>
        </w:rPr>
        <w:t xml:space="preserve"> Параметра</w:t>
      </w:r>
      <w:r w:rsidRPr="005642CF">
        <w:rPr>
          <w:rFonts w:ascii="Times New Roman" w:eastAsia="Times New Roman" w:hAnsi="Times New Roman"/>
          <w:szCs w:val="24"/>
        </w:rPr>
        <w:t xml:space="preserve">, в процентах. Определяется </w:t>
      </w:r>
      <w:r w:rsidRPr="005642CF">
        <w:rPr>
          <w:rFonts w:ascii="Times New Roman" w:eastAsia="Times New Roman" w:hAnsi="Times New Roman"/>
          <w:bCs/>
          <w:iCs/>
          <w:szCs w:val="24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договор. Информация о величине 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</w:rPr>
        <w:t>Параметра</w:t>
      </w:r>
      <w:r w:rsidRPr="005642CF">
        <w:rPr>
          <w:rFonts w:ascii="Times New Roman" w:eastAsia="Times New Roman" w:hAnsi="Times New Roman"/>
          <w:bCs/>
          <w:iCs/>
          <w:szCs w:val="24"/>
        </w:rPr>
        <w:t xml:space="preserve"> раскрывается Эмитентом в соответствии с подпунктом 23.3 (1) пункта 11 Программы; </w:t>
      </w:r>
    </w:p>
    <w:p w14:paraId="469C58E3" w14:textId="77777777" w:rsidR="005642CF" w:rsidRPr="005642CF" w:rsidRDefault="005642CF" w:rsidP="005642CF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4"/>
        </w:rPr>
      </w:pPr>
      <w:r w:rsidRPr="005642CF">
        <w:rPr>
          <w:rFonts w:ascii="Times New Roman" w:eastAsia="Times New Roman" w:hAnsi="Times New Roman"/>
          <w:b/>
          <w:i/>
          <w:szCs w:val="24"/>
          <w:lang w:val="en-US"/>
        </w:rPr>
        <w:t>n</w:t>
      </w:r>
      <w:r w:rsidRPr="005642CF">
        <w:rPr>
          <w:rFonts w:ascii="Times New Roman" w:eastAsia="Times New Roman" w:hAnsi="Times New Roman"/>
          <w:szCs w:val="24"/>
        </w:rPr>
        <w:t xml:space="preserve"> – величина, равная разнице между соответствующим номером Даты выплаты дополнительного дохода </w:t>
      </w:r>
      <w:r w:rsidRPr="005642CF">
        <w:rPr>
          <w:rFonts w:ascii="Times New Roman" w:eastAsia="Times New Roman" w:hAnsi="Times New Roman"/>
          <w:i/>
          <w:szCs w:val="24"/>
          <w:lang w:val="en-US"/>
        </w:rPr>
        <w:t>j</w:t>
      </w:r>
      <w:r w:rsidRPr="005642CF">
        <w:rPr>
          <w:rFonts w:ascii="Times New Roman" w:eastAsia="Times New Roman" w:hAnsi="Times New Roman"/>
          <w:szCs w:val="24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5642CF">
        <w:rPr>
          <w:rFonts w:ascii="Times New Roman" w:eastAsia="Times New Roman" w:hAnsi="Times New Roman"/>
          <w:szCs w:val="24"/>
          <w:lang w:val="en-US"/>
        </w:rPr>
        <w:t>n</w:t>
      </w:r>
      <w:r w:rsidRPr="005642CF">
        <w:rPr>
          <w:rFonts w:ascii="Times New Roman" w:eastAsia="Times New Roman" w:hAnsi="Times New Roman"/>
          <w:szCs w:val="24"/>
        </w:rPr>
        <w:t xml:space="preserve"> принимается равной 1;</w:t>
      </w:r>
    </w:p>
    <w:p w14:paraId="770AD135" w14:textId="77777777" w:rsidR="005642CF" w:rsidRPr="005642CF" w:rsidRDefault="005642CF" w:rsidP="005642CF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4"/>
        </w:rPr>
      </w:pPr>
      <w:r w:rsidRPr="005642CF">
        <w:rPr>
          <w:rFonts w:ascii="Times New Roman" w:eastAsia="Times New Roman" w:hAnsi="Times New Roman"/>
          <w:b/>
          <w:bCs/>
          <w:i/>
          <w:iCs/>
          <w:szCs w:val="24"/>
        </w:rPr>
        <w:t>j</w:t>
      </w:r>
      <w:r w:rsidRPr="005642CF">
        <w:rPr>
          <w:rFonts w:ascii="Times New Roman" w:eastAsia="Times New Roman" w:hAnsi="Times New Roman"/>
          <w:szCs w:val="24"/>
        </w:rPr>
        <w:t xml:space="preserve"> – порядковый номер выплаты дополнительного дохода (</w:t>
      </w:r>
      <w:r w:rsidRPr="005642CF">
        <w:rPr>
          <w:rFonts w:ascii="Times New Roman" w:eastAsia="Times New Roman" w:hAnsi="Times New Roman"/>
          <w:b/>
          <w:i/>
          <w:szCs w:val="24"/>
        </w:rPr>
        <w:t>j</w:t>
      </w:r>
      <w:r w:rsidRPr="005642CF">
        <w:rPr>
          <w:rFonts w:ascii="Times New Roman" w:eastAsia="Times New Roman" w:hAnsi="Times New Roman"/>
          <w:b/>
          <w:szCs w:val="24"/>
        </w:rPr>
        <w:t xml:space="preserve"> </w:t>
      </w:r>
      <w:r w:rsidRPr="005642CF">
        <w:rPr>
          <w:rFonts w:ascii="Times New Roman" w:eastAsia="Times New Roman" w:hAnsi="Times New Roman"/>
          <w:szCs w:val="24"/>
        </w:rPr>
        <w:t xml:space="preserve">= 1, 2, 3, 4, 5, 6); </w:t>
      </w:r>
    </w:p>
    <w:p w14:paraId="7508C8CD" w14:textId="77777777" w:rsidR="005642CF" w:rsidRPr="005642CF" w:rsidRDefault="005642CF" w:rsidP="005642CF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4"/>
        </w:rPr>
      </w:pPr>
      <w:r w:rsidRPr="005642CF">
        <w:rPr>
          <w:rFonts w:ascii="Times New Roman" w:eastAsia="Times New Roman" w:hAnsi="Times New Roman"/>
          <w:b/>
          <w:i/>
          <w:szCs w:val="24"/>
          <w:lang w:val="en-US"/>
        </w:rPr>
        <w:t>i</w:t>
      </w:r>
      <w:r w:rsidRPr="005642CF">
        <w:rPr>
          <w:rFonts w:ascii="Times New Roman" w:eastAsia="Times New Roman" w:hAnsi="Times New Roman"/>
          <w:szCs w:val="24"/>
        </w:rPr>
        <w:t xml:space="preserve"> – порядковый номер Референсного актива (</w:t>
      </w:r>
      <w:r w:rsidRPr="005642CF">
        <w:rPr>
          <w:rFonts w:ascii="Times New Roman" w:eastAsia="Times New Roman" w:hAnsi="Times New Roman"/>
          <w:b/>
          <w:i/>
          <w:szCs w:val="24"/>
          <w:lang w:val="en-US"/>
        </w:rPr>
        <w:t>i</w:t>
      </w:r>
      <w:r w:rsidRPr="005642CF">
        <w:rPr>
          <w:rFonts w:ascii="Times New Roman" w:eastAsia="Times New Roman" w:hAnsi="Times New Roman"/>
          <w:szCs w:val="24"/>
        </w:rPr>
        <w:t xml:space="preserve">  = 1, 2, 3, 4);</w:t>
      </w:r>
    </w:p>
    <w:p w14:paraId="6D0C45B3" w14:textId="77777777" w:rsidR="005642CF" w:rsidRPr="005642CF" w:rsidRDefault="005642CF" w:rsidP="005642C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4"/>
          <w:u w:val="single"/>
        </w:rPr>
      </w:pPr>
      <w:r w:rsidRPr="005642CF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  <w:vertAlign w:val="subscript"/>
          <w:lang w:val="en-US"/>
        </w:rPr>
        <w:t>i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</w:rPr>
        <w:t>(0)</w:t>
      </w:r>
      <w:r w:rsidRPr="005642CF">
        <w:rPr>
          <w:rFonts w:ascii="Times New Roman" w:eastAsia="Times New Roman" w:hAnsi="Times New Roman"/>
          <w:bCs/>
          <w:i/>
          <w:iCs/>
          <w:szCs w:val="24"/>
        </w:rPr>
        <w:t xml:space="preserve"> </w:t>
      </w:r>
      <w:r w:rsidRPr="005642CF">
        <w:rPr>
          <w:rFonts w:ascii="Times New Roman" w:eastAsia="Times New Roman" w:hAnsi="Times New Roman"/>
          <w:szCs w:val="24"/>
        </w:rPr>
        <w:t>– цена закрытия Референсного актива (</w:t>
      </w:r>
      <w:r w:rsidRPr="005642CF">
        <w:rPr>
          <w:rFonts w:ascii="Times New Roman" w:eastAsia="Times New Roman" w:hAnsi="Times New Roman"/>
          <w:i/>
          <w:szCs w:val="24"/>
        </w:rPr>
        <w:t xml:space="preserve">i) </w:t>
      </w:r>
      <w:r w:rsidRPr="005642CF">
        <w:rPr>
          <w:rFonts w:ascii="Times New Roman" w:eastAsia="Times New Roman" w:hAnsi="Times New Roman"/>
          <w:szCs w:val="24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0ADACD28" w14:textId="77777777" w:rsidR="005642CF" w:rsidRPr="005642CF" w:rsidRDefault="005642CF" w:rsidP="005642C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4"/>
        </w:rPr>
      </w:pPr>
      <w:r w:rsidRPr="005642CF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  <w:vertAlign w:val="subscript"/>
          <w:lang w:val="en-US"/>
        </w:rPr>
        <w:t>i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</w:rPr>
        <w:t>(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  <w:r w:rsidRPr="005642CF">
        <w:rPr>
          <w:rFonts w:ascii="Times New Roman" w:eastAsia="Times New Roman" w:hAnsi="Times New Roman"/>
          <w:szCs w:val="24"/>
        </w:rPr>
        <w:t xml:space="preserve"> – цена закрытия Референсного актива (</w:t>
      </w:r>
      <w:r w:rsidRPr="005642CF">
        <w:rPr>
          <w:rFonts w:ascii="Times New Roman" w:eastAsia="Times New Roman" w:hAnsi="Times New Roman"/>
          <w:i/>
          <w:szCs w:val="24"/>
        </w:rPr>
        <w:t xml:space="preserve">i) </w:t>
      </w:r>
      <w:r w:rsidRPr="005642CF">
        <w:rPr>
          <w:rFonts w:ascii="Times New Roman" w:eastAsia="Times New Roman" w:hAnsi="Times New Roman"/>
          <w:szCs w:val="24"/>
        </w:rPr>
        <w:t xml:space="preserve">в Дату определения дополнительного дохода </w:t>
      </w:r>
      <w:r w:rsidRPr="005642CF">
        <w:rPr>
          <w:rFonts w:ascii="Times New Roman" w:eastAsia="Times New Roman" w:hAnsi="Times New Roman"/>
          <w:i/>
          <w:szCs w:val="24"/>
        </w:rPr>
        <w:t>(</w:t>
      </w:r>
      <w:r w:rsidRPr="005642CF">
        <w:rPr>
          <w:rFonts w:ascii="Times New Roman" w:eastAsia="Times New Roman" w:hAnsi="Times New Roman"/>
          <w:i/>
          <w:szCs w:val="24"/>
          <w:lang w:val="en-US"/>
        </w:rPr>
        <w:t>j</w:t>
      </w:r>
      <w:r w:rsidRPr="005642CF">
        <w:rPr>
          <w:rFonts w:ascii="Times New Roman" w:eastAsia="Times New Roman" w:hAnsi="Times New Roman"/>
          <w:i/>
          <w:szCs w:val="24"/>
        </w:rPr>
        <w:t>)</w:t>
      </w:r>
      <w:r w:rsidRPr="005642CF">
        <w:rPr>
          <w:rFonts w:ascii="Times New Roman" w:eastAsia="Times New Roman" w:hAnsi="Times New Roman"/>
          <w:szCs w:val="24"/>
        </w:rPr>
        <w:t xml:space="preserve"> на соответствующей бирже Референсного актива в валюте Референсного актива. </w:t>
      </w:r>
    </w:p>
    <w:p w14:paraId="06FD2504" w14:textId="77777777" w:rsidR="005642CF" w:rsidRPr="005642CF" w:rsidRDefault="005642CF" w:rsidP="005642C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Cs/>
          <w:szCs w:val="24"/>
        </w:rPr>
      </w:pPr>
      <w:r w:rsidRPr="005642CF">
        <w:rPr>
          <w:rFonts w:ascii="Times New Roman" w:eastAsia="Times New Roman" w:hAnsi="Times New Roman"/>
          <w:b/>
          <w:bCs/>
          <w:i/>
          <w:iCs/>
          <w:szCs w:val="24"/>
        </w:rPr>
        <w:t>Барьер(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  <w:r w:rsidRPr="005642CF">
        <w:rPr>
          <w:rFonts w:ascii="Times New Roman" w:eastAsia="Times New Roman" w:hAnsi="Times New Roman"/>
          <w:szCs w:val="24"/>
        </w:rPr>
        <w:t xml:space="preserve"> – </w:t>
      </w:r>
      <w:r w:rsidRPr="005642CF">
        <w:rPr>
          <w:rFonts w:ascii="Times New Roman" w:eastAsia="Times New Roman" w:hAnsi="Times New Roman"/>
          <w:bCs/>
          <w:iCs/>
          <w:szCs w:val="24"/>
        </w:rPr>
        <w:t>величина барьера, которая принимает следующие значения для соответствующей</w:t>
      </w:r>
      <w:r w:rsidRPr="005642CF">
        <w:rPr>
          <w:rFonts w:ascii="Times New Roman" w:eastAsia="Times New Roman" w:hAnsi="Times New Roman"/>
          <w:bCs/>
          <w:i/>
          <w:iCs/>
          <w:szCs w:val="24"/>
        </w:rPr>
        <w:t xml:space="preserve"> Даты определения дополнительного дохода (</w:t>
      </w:r>
      <w:r w:rsidRPr="005642CF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5642CF">
        <w:rPr>
          <w:rFonts w:ascii="Times New Roman" w:eastAsia="Times New Roman" w:hAnsi="Times New Roman"/>
          <w:bCs/>
          <w:i/>
          <w:iCs/>
          <w:szCs w:val="24"/>
        </w:rPr>
        <w:t>)</w:t>
      </w:r>
      <w:r w:rsidRPr="005642CF">
        <w:rPr>
          <w:rFonts w:ascii="Times New Roman" w:eastAsia="Times New Roman" w:hAnsi="Times New Roman"/>
          <w:bCs/>
          <w:iCs/>
          <w:szCs w:val="24"/>
        </w:rPr>
        <w:t>:</w:t>
      </w:r>
    </w:p>
    <w:tbl>
      <w:tblPr>
        <w:tblStyle w:val="af3"/>
        <w:tblW w:w="0" w:type="auto"/>
        <w:tblInd w:w="497" w:type="dxa"/>
        <w:tblLook w:val="04A0" w:firstRow="1" w:lastRow="0" w:firstColumn="1" w:lastColumn="0" w:noHBand="0" w:noVBand="1"/>
      </w:tblPr>
      <w:tblGrid>
        <w:gridCol w:w="5125"/>
        <w:gridCol w:w="2381"/>
      </w:tblGrid>
      <w:tr w:rsidR="005642CF" w:rsidRPr="005642CF" w14:paraId="4585926B" w14:textId="77777777" w:rsidTr="009F72B6">
        <w:trPr>
          <w:trHeight w:val="716"/>
        </w:trPr>
        <w:tc>
          <w:tcPr>
            <w:tcW w:w="5125" w:type="dxa"/>
          </w:tcPr>
          <w:p w14:paraId="3881C7BF" w14:textId="77777777" w:rsidR="005642CF" w:rsidRPr="005642CF" w:rsidRDefault="005642CF" w:rsidP="005642CF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5642CF">
              <w:rPr>
                <w:rFonts w:ascii="Times New Roman" w:hAnsi="Times New Roman"/>
                <w:bCs/>
                <w:iCs/>
                <w:szCs w:val="24"/>
              </w:rPr>
              <w:t xml:space="preserve">Номер </w:t>
            </w:r>
            <w:r w:rsidRPr="005642CF">
              <w:rPr>
                <w:rFonts w:ascii="Times New Roman" w:hAnsi="Times New Roman"/>
                <w:bCs/>
                <w:i/>
                <w:iCs/>
                <w:szCs w:val="24"/>
              </w:rPr>
              <w:t>Даты определения дополнительного дохода (</w:t>
            </w:r>
            <w:r w:rsidRPr="005642CF">
              <w:rPr>
                <w:rFonts w:ascii="Times New Roman" w:hAnsi="Times New Roman"/>
                <w:bCs/>
                <w:i/>
                <w:iCs/>
                <w:szCs w:val="24"/>
                <w:lang w:val="en-US"/>
              </w:rPr>
              <w:t>j</w:t>
            </w:r>
            <w:r w:rsidRPr="005642CF">
              <w:rPr>
                <w:rFonts w:ascii="Times New Roman" w:hAnsi="Times New Roman"/>
                <w:bCs/>
                <w:i/>
                <w:iCs/>
                <w:szCs w:val="24"/>
              </w:rPr>
              <w:t>)</w:t>
            </w:r>
          </w:p>
        </w:tc>
        <w:tc>
          <w:tcPr>
            <w:tcW w:w="2381" w:type="dxa"/>
          </w:tcPr>
          <w:p w14:paraId="65D8B430" w14:textId="77777777" w:rsidR="005642CF" w:rsidRPr="005642CF" w:rsidRDefault="005642CF" w:rsidP="005642CF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5642CF">
              <w:rPr>
                <w:rFonts w:ascii="Times New Roman" w:hAnsi="Times New Roman"/>
                <w:bCs/>
                <w:iCs/>
                <w:szCs w:val="24"/>
              </w:rPr>
              <w:t xml:space="preserve">Значение </w:t>
            </w:r>
            <w:r w:rsidRPr="005642CF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Барьера(</w:t>
            </w:r>
            <w:r w:rsidRPr="005642CF">
              <w:rPr>
                <w:rFonts w:ascii="Times New Roman" w:hAnsi="Times New Roman"/>
                <w:b/>
                <w:bCs/>
                <w:i/>
                <w:iCs/>
                <w:szCs w:val="24"/>
                <w:lang w:val="en-US"/>
              </w:rPr>
              <w:t>j</w:t>
            </w:r>
            <w:r w:rsidRPr="005642CF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)</w:t>
            </w:r>
          </w:p>
        </w:tc>
      </w:tr>
      <w:tr w:rsidR="005642CF" w:rsidRPr="005642CF" w14:paraId="070BCF17" w14:textId="77777777" w:rsidTr="009F72B6">
        <w:trPr>
          <w:trHeight w:val="459"/>
        </w:trPr>
        <w:tc>
          <w:tcPr>
            <w:tcW w:w="5125" w:type="dxa"/>
          </w:tcPr>
          <w:p w14:paraId="304EEBD0" w14:textId="77777777" w:rsidR="005642CF" w:rsidRPr="005642CF" w:rsidRDefault="005642CF" w:rsidP="005642CF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5642CF">
              <w:rPr>
                <w:rFonts w:ascii="Times New Roman" w:hAnsi="Times New Roman"/>
                <w:bCs/>
                <w:iCs/>
                <w:szCs w:val="24"/>
                <w:lang w:val="en-US"/>
              </w:rPr>
              <w:t>1, 2, 3, 4, 5, 6</w:t>
            </w:r>
            <w:r w:rsidRPr="005642CF">
              <w:rPr>
                <w:rFonts w:ascii="Times New Roman" w:hAnsi="Times New Roman"/>
                <w:bCs/>
                <w:iCs/>
                <w:szCs w:val="24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5EB95557" w14:textId="77777777" w:rsidR="005642CF" w:rsidRPr="005642CF" w:rsidRDefault="005642CF" w:rsidP="005642CF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5642CF">
              <w:rPr>
                <w:rFonts w:ascii="Times New Roman" w:hAnsi="Times New Roman"/>
                <w:bCs/>
                <w:iCs/>
                <w:szCs w:val="24"/>
              </w:rPr>
              <w:t>95%</w:t>
            </w:r>
          </w:p>
        </w:tc>
      </w:tr>
    </w:tbl>
    <w:p w14:paraId="6B1448B8" w14:textId="77777777" w:rsidR="005642CF" w:rsidRPr="005642CF" w:rsidRDefault="005642CF" w:rsidP="005642C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4"/>
        </w:rPr>
      </w:pPr>
      <w:r w:rsidRPr="005642CF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</w:rPr>
        <w:t>Торговый день</w:t>
      </w:r>
      <w:r w:rsidRPr="005642CF">
        <w:rPr>
          <w:rFonts w:ascii="Times New Roman" w:eastAsia="Times New Roman" w:hAnsi="Times New Roman"/>
          <w:szCs w:val="24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0436B0DC" w14:textId="77777777" w:rsidR="005642CF" w:rsidRPr="005642CF" w:rsidRDefault="005642CF" w:rsidP="005642CF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szCs w:val="24"/>
        </w:rPr>
      </w:pPr>
      <w:r w:rsidRPr="005642CF">
        <w:rPr>
          <w:rFonts w:ascii="Times New Roman" w:eastAsia="Times New Roman" w:hAnsi="Times New Roman"/>
          <w:b/>
          <w:bCs/>
          <w:i/>
          <w:iCs/>
          <w:szCs w:val="24"/>
        </w:rPr>
        <w:t>Дата определения</w:t>
      </w:r>
      <w:r w:rsidRPr="005642CF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5642CF">
        <w:rPr>
          <w:rFonts w:ascii="Times New Roman" w:eastAsia="Times New Roman" w:hAnsi="Times New Roman"/>
          <w:b/>
          <w:bCs/>
          <w:i/>
          <w:iCs/>
          <w:szCs w:val="24"/>
        </w:rPr>
        <w:t>дополнительного дохода</w:t>
      </w:r>
      <w:r w:rsidRPr="005642CF">
        <w:rPr>
          <w:rFonts w:ascii="Times New Roman" w:eastAsia="Times New Roman" w:hAnsi="Times New Roman"/>
          <w:szCs w:val="24"/>
        </w:rPr>
        <w:t xml:space="preserve">: </w:t>
      </w:r>
    </w:p>
    <w:p w14:paraId="412B9EB2" w14:textId="77777777" w:rsidR="005642CF" w:rsidRPr="005642CF" w:rsidRDefault="005642CF" w:rsidP="005642CF">
      <w:pPr>
        <w:widowControl w:val="0"/>
        <w:numPr>
          <w:ilvl w:val="0"/>
          <w:numId w:val="47"/>
        </w:numPr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5642CF">
        <w:rPr>
          <w:rFonts w:ascii="Times New Roman" w:eastAsia="Times New Roman" w:hAnsi="Times New Roman"/>
          <w:szCs w:val="24"/>
        </w:rPr>
        <w:t>для периодов дополнительного дохода с порядковыми номерами 1, 2, 3, 4 и 5 Датой определения дополнительного дохода является 2 (второй) торговый день, предшествующий Дате выплаты дополнительного дохода</w:t>
      </w:r>
      <w:r w:rsidRPr="005642CF">
        <w:rPr>
          <w:rFonts w:ascii="Times New Roman" w:eastAsia="Times New Roman" w:hAnsi="Times New Roman"/>
          <w:bCs/>
          <w:iCs/>
          <w:szCs w:val="24"/>
        </w:rPr>
        <w:t xml:space="preserve">. </w:t>
      </w:r>
    </w:p>
    <w:p w14:paraId="4173E409" w14:textId="77777777" w:rsidR="005642CF" w:rsidRPr="005642CF" w:rsidRDefault="005642CF" w:rsidP="005642CF">
      <w:pPr>
        <w:widowControl w:val="0"/>
        <w:numPr>
          <w:ilvl w:val="0"/>
          <w:numId w:val="47"/>
        </w:numPr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5642CF">
        <w:rPr>
          <w:rFonts w:ascii="Times New Roman" w:eastAsia="Times New Roman" w:hAnsi="Times New Roman"/>
          <w:szCs w:val="24"/>
        </w:rPr>
        <w:t>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</w:t>
      </w:r>
      <w:r w:rsidRPr="005642CF">
        <w:rPr>
          <w:rFonts w:ascii="Times New Roman" w:eastAsia="Times New Roman" w:hAnsi="Times New Roman"/>
          <w:bCs/>
          <w:iCs/>
          <w:szCs w:val="24"/>
        </w:rPr>
        <w:t xml:space="preserve">. </w:t>
      </w:r>
    </w:p>
    <w:p w14:paraId="16001127" w14:textId="77777777" w:rsidR="005642CF" w:rsidRPr="005642CF" w:rsidRDefault="005642CF" w:rsidP="005642CF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5642CF">
        <w:rPr>
          <w:rFonts w:ascii="Times New Roman" w:eastAsia="Times New Roman" w:hAnsi="Times New Roman"/>
          <w:color w:val="000000"/>
          <w:szCs w:val="24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</w:t>
      </w:r>
      <w:r w:rsidRPr="005642CF">
        <w:rPr>
          <w:rFonts w:ascii="Times New Roman" w:eastAsia="Times New Roman" w:hAnsi="Times New Roman"/>
          <w:color w:val="000000"/>
          <w:szCs w:val="24"/>
        </w:rPr>
        <w:lastRenderedPageBreak/>
        <w:t xml:space="preserve">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1B9EBD84" w14:textId="77777777" w:rsidR="005642CF" w:rsidRPr="005642CF" w:rsidRDefault="005642CF" w:rsidP="005642CF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4"/>
        </w:rPr>
      </w:pPr>
    </w:p>
    <w:p w14:paraId="33D93B35" w14:textId="77777777" w:rsidR="005642CF" w:rsidRPr="005642CF" w:rsidRDefault="005642CF" w:rsidP="005642CF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4"/>
        </w:rPr>
      </w:pPr>
      <w:r w:rsidRPr="005642CF">
        <w:rPr>
          <w:rFonts w:ascii="Times New Roman" w:eastAsia="Times New Roman" w:hAnsi="Times New Roman"/>
          <w:b/>
          <w:i/>
          <w:color w:val="000000"/>
          <w:szCs w:val="24"/>
        </w:rPr>
        <w:t>Референсные активы</w:t>
      </w:r>
      <w:r w:rsidRPr="005642CF">
        <w:rPr>
          <w:rFonts w:ascii="Times New Roman" w:eastAsia="Times New Roman" w:hAnsi="Times New Roman"/>
          <w:color w:val="000000"/>
          <w:szCs w:val="24"/>
        </w:rPr>
        <w:t>: по одной обыкновенной акции следующих эмитентов со следующими характеристиками:</w:t>
      </w:r>
    </w:p>
    <w:tbl>
      <w:tblPr>
        <w:tblW w:w="964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010"/>
        <w:gridCol w:w="180"/>
        <w:gridCol w:w="1701"/>
        <w:gridCol w:w="180"/>
        <w:gridCol w:w="5284"/>
      </w:tblGrid>
      <w:tr w:rsidR="005642CF" w:rsidRPr="005642CF" w14:paraId="149B7521" w14:textId="77777777" w:rsidTr="009F72B6">
        <w:trPr>
          <w:trHeight w:val="3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13A52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val="en-US"/>
              </w:rPr>
            </w:pPr>
            <w:r w:rsidRPr="005642CF">
              <w:rPr>
                <w:rFonts w:ascii="Times New Roman" w:eastAsia="Times New Roman" w:hAnsi="Times New Roman"/>
                <w:i/>
                <w:color w:val="000000"/>
                <w:sz w:val="18"/>
                <w:szCs w:val="20"/>
                <w:lang w:val="en-US"/>
              </w:rPr>
              <w:t>i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71C01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Наименование эмитента Референсного актива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A1F64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30EAD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ISIN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6EA65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B25F1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Биржа Референсного актива</w:t>
            </w:r>
          </w:p>
        </w:tc>
      </w:tr>
      <w:tr w:rsidR="005642CF" w:rsidRPr="005642CF" w14:paraId="0E4F6E9D" w14:textId="77777777" w:rsidTr="009F72B6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94004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49A8CD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DA807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83C910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Валюта актива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C577AD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8D1445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Источник цены (ссылка)</w:t>
            </w:r>
          </w:p>
        </w:tc>
      </w:tr>
      <w:tr w:rsidR="005642CF" w:rsidRPr="005642CF" w14:paraId="06695EA4" w14:textId="77777777" w:rsidTr="009F72B6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5344D2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83E037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3D7319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756D1B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E79BA6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AE613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Тип значения на странице по ссылке</w:t>
            </w:r>
          </w:p>
        </w:tc>
      </w:tr>
      <w:tr w:rsidR="005642CF" w:rsidRPr="005642CF" w14:paraId="2947F384" w14:textId="77777777" w:rsidTr="009F72B6">
        <w:trPr>
          <w:trHeight w:val="300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607719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1</w:t>
            </w: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5B26D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International Business Machines Corporation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AF038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E481E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US4592001014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E19472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08A252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5642CF" w:rsidRPr="005642CF" w14:paraId="785879FE" w14:textId="77777777" w:rsidTr="009F72B6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5CC9E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97B60C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2FAC5F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49353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Доллары США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C4B6B1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A1481D" w14:textId="77777777" w:rsidR="005642CF" w:rsidRPr="005642CF" w:rsidRDefault="00406179" w:rsidP="005642CF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18"/>
                <w:szCs w:val="20"/>
                <w:u w:val="single"/>
              </w:rPr>
            </w:pPr>
            <w:hyperlink r:id="rId8" w:history="1">
              <w:r w:rsidR="005642CF" w:rsidRPr="005642CF">
                <w:rPr>
                  <w:rFonts w:ascii="Times New Roman" w:eastAsia="Times New Roman" w:hAnsi="Times New Roman"/>
                  <w:color w:val="0563C1"/>
                  <w:sz w:val="18"/>
                  <w:szCs w:val="20"/>
                  <w:u w:val="single"/>
                </w:rPr>
                <w:t>https://www.nasdaq.com/market-activity/stocks/ibm/historical</w:t>
              </w:r>
            </w:hyperlink>
          </w:p>
        </w:tc>
      </w:tr>
      <w:tr w:rsidR="005642CF" w:rsidRPr="005642CF" w14:paraId="4F8B1C33" w14:textId="77777777" w:rsidTr="009F72B6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4CEFF8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9EF01C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6E351F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F89CA9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9ED44A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2ED02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Значение Close/Last</w:t>
            </w:r>
          </w:p>
        </w:tc>
      </w:tr>
      <w:tr w:rsidR="005642CF" w:rsidRPr="005642CF" w14:paraId="75934F98" w14:textId="77777777" w:rsidTr="009F72B6">
        <w:trPr>
          <w:trHeight w:val="300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C5AC64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2</w:t>
            </w: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734655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Microsoft Corporation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5DE1BA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A974E9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US5949181045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F6EE67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4C481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5642CF" w:rsidRPr="005642CF" w14:paraId="2C45D5B0" w14:textId="77777777" w:rsidTr="009F72B6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1660B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47628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85C548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EE3272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Доллары США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1230B5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35BCF" w14:textId="77777777" w:rsidR="005642CF" w:rsidRPr="005642CF" w:rsidRDefault="00406179" w:rsidP="005642CF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18"/>
                <w:szCs w:val="20"/>
                <w:u w:val="single"/>
              </w:rPr>
            </w:pPr>
            <w:hyperlink r:id="rId9" w:history="1">
              <w:r w:rsidR="005642CF" w:rsidRPr="005642CF">
                <w:rPr>
                  <w:rFonts w:ascii="Times New Roman" w:eastAsia="Times New Roman" w:hAnsi="Times New Roman"/>
                  <w:color w:val="0563C1"/>
                  <w:sz w:val="18"/>
                  <w:szCs w:val="20"/>
                  <w:u w:val="single"/>
                </w:rPr>
                <w:t>https://www.nasdaq.com/market-activity/stocks/msft/historical</w:t>
              </w:r>
            </w:hyperlink>
          </w:p>
        </w:tc>
      </w:tr>
      <w:tr w:rsidR="005642CF" w:rsidRPr="005642CF" w14:paraId="643B4237" w14:textId="77777777" w:rsidTr="009F72B6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239157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B6644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DEDFE5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403FF0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E1BBAC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E97506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Значение Close/Last</w:t>
            </w:r>
          </w:p>
        </w:tc>
      </w:tr>
      <w:tr w:rsidR="005642CF" w:rsidRPr="005642CF" w14:paraId="5C57DC96" w14:textId="77777777" w:rsidTr="009F72B6">
        <w:trPr>
          <w:trHeight w:val="3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82C6B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3</w:t>
            </w: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7CE90D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Amazon.com, Inc.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56BF2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ADCAF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US0231351067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C10123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557435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5642CF" w:rsidRPr="005642CF" w14:paraId="07CF5A5F" w14:textId="77777777" w:rsidTr="009F72B6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63D56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BD3BA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644FC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215D27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Доллары США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FF6055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1F7B70" w14:textId="77777777" w:rsidR="005642CF" w:rsidRPr="005642CF" w:rsidRDefault="00406179" w:rsidP="005642CF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18"/>
                <w:szCs w:val="20"/>
                <w:u w:val="single"/>
              </w:rPr>
            </w:pPr>
            <w:hyperlink r:id="rId10" w:history="1">
              <w:r w:rsidR="005642CF" w:rsidRPr="005642CF">
                <w:rPr>
                  <w:rFonts w:ascii="Times New Roman" w:eastAsia="Times New Roman" w:hAnsi="Times New Roman"/>
                  <w:color w:val="0563C1"/>
                  <w:sz w:val="18"/>
                  <w:szCs w:val="20"/>
                  <w:u w:val="single"/>
                </w:rPr>
                <w:t>https://www.nasdaq.com/market-activity/stocks/amzn/historical</w:t>
              </w:r>
            </w:hyperlink>
          </w:p>
        </w:tc>
      </w:tr>
      <w:tr w:rsidR="005642CF" w:rsidRPr="005642CF" w14:paraId="75FB6AA0" w14:textId="77777777" w:rsidTr="009F72B6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CAAA75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A09F8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5D432B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67475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0E69F2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034F07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Значение Close/Last</w:t>
            </w:r>
          </w:p>
        </w:tc>
      </w:tr>
      <w:tr w:rsidR="005642CF" w:rsidRPr="005642CF" w14:paraId="2980063E" w14:textId="77777777" w:rsidTr="009F72B6">
        <w:trPr>
          <w:trHeight w:val="21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666F9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4</w:t>
            </w: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193932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SAP SE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40BBB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32D33B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DE0007164600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DE7785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9BF12C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Франкфуртская биржа (Deutsche Boerse Xetra) </w:t>
            </w:r>
          </w:p>
        </w:tc>
      </w:tr>
      <w:tr w:rsidR="005642CF" w:rsidRPr="005642CF" w14:paraId="72CC9168" w14:textId="77777777" w:rsidTr="009F72B6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C49AC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231A75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BAE594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627E6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Евро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560D3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02FF4" w14:textId="77777777" w:rsidR="005642CF" w:rsidRPr="005642CF" w:rsidRDefault="00406179" w:rsidP="005642CF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18"/>
                <w:szCs w:val="20"/>
                <w:u w:val="single"/>
              </w:rPr>
            </w:pPr>
            <w:hyperlink r:id="rId11" w:history="1">
              <w:r w:rsidR="005642CF" w:rsidRPr="005642CF">
                <w:rPr>
                  <w:rFonts w:ascii="Times New Roman" w:eastAsia="Times New Roman" w:hAnsi="Times New Roman"/>
                  <w:color w:val="0563C1"/>
                  <w:sz w:val="18"/>
                  <w:szCs w:val="20"/>
                  <w:u w:val="single"/>
                </w:rPr>
                <w:t>https://www.boerse-frankfurt.de/equity/sap-se/price-history/historical-prices-and-volumes</w:t>
              </w:r>
            </w:hyperlink>
          </w:p>
        </w:tc>
      </w:tr>
      <w:tr w:rsidR="005642CF" w:rsidRPr="005642CF" w14:paraId="3C8264CE" w14:textId="77777777" w:rsidTr="009F72B6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F346F5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E85E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E01CEF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30544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ADF911" w14:textId="77777777" w:rsidR="005642CF" w:rsidRPr="005642CF" w:rsidRDefault="005642CF" w:rsidP="00564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38C24A" w14:textId="77777777" w:rsidR="005642CF" w:rsidRPr="005642CF" w:rsidRDefault="005642CF" w:rsidP="00564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/>
              </w:rPr>
            </w:pPr>
            <w:r w:rsidRPr="005642CF">
              <w:rPr>
                <w:rFonts w:ascii="Times New Roman" w:eastAsia="Times New Roman" w:hAnsi="Times New Roman"/>
                <w:color w:val="000000"/>
                <w:sz w:val="18"/>
                <w:szCs w:val="20"/>
              </w:rPr>
              <w:t>Значение Close</w:t>
            </w:r>
          </w:p>
        </w:tc>
      </w:tr>
    </w:tbl>
    <w:p w14:paraId="7161F718" w14:textId="77777777" w:rsidR="005642CF" w:rsidRPr="005642CF" w:rsidRDefault="005642CF" w:rsidP="005642C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</w:p>
    <w:p w14:paraId="56513FC4" w14:textId="77777777" w:rsidR="005642CF" w:rsidRPr="005642CF" w:rsidRDefault="005642CF" w:rsidP="005642C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5642CF">
        <w:rPr>
          <w:rFonts w:ascii="Times New Roman" w:eastAsia="Times New Roman" w:hAnsi="Times New Roman"/>
          <w:b/>
          <w:bCs/>
          <w:i/>
          <w:iCs/>
          <w:szCs w:val="24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6081959" w14:textId="77777777" w:rsidR="005642CF" w:rsidRPr="005642CF" w:rsidRDefault="005642CF" w:rsidP="005642CF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4"/>
        </w:rPr>
      </w:pPr>
      <w:r w:rsidRPr="005642CF">
        <w:rPr>
          <w:rFonts w:ascii="Times New Roman" w:eastAsia="Times New Roman" w:hAnsi="Times New Roman"/>
          <w:bCs/>
          <w:i/>
          <w:iCs/>
          <w:szCs w:val="24"/>
        </w:rPr>
        <w:t>ДД (руб.)</w:t>
      </w:r>
      <w:r w:rsidRPr="005642CF">
        <w:rPr>
          <w:rFonts w:ascii="Times New Roman" w:eastAsia="Times New Roman" w:hAnsi="Times New Roman"/>
          <w:bCs/>
          <w:iCs/>
          <w:szCs w:val="24"/>
        </w:rPr>
        <w:t xml:space="preserve"> = </w:t>
      </w:r>
      <w:r w:rsidRPr="005642CF">
        <w:rPr>
          <w:rFonts w:ascii="Times New Roman" w:eastAsia="Times New Roman" w:hAnsi="Times New Roman"/>
          <w:bCs/>
          <w:i/>
          <w:iCs/>
          <w:szCs w:val="24"/>
        </w:rPr>
        <w:t>Nom ×</w:t>
      </w:r>
      <w:r w:rsidRPr="005642CF">
        <w:rPr>
          <w:rFonts w:ascii="Times New Roman" w:eastAsia="Times New Roman" w:hAnsi="Times New Roman"/>
          <w:i/>
          <w:szCs w:val="24"/>
        </w:rPr>
        <w:t xml:space="preserve"> </w:t>
      </w:r>
      <w:r w:rsidRPr="005642CF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дохода(j)</w:t>
      </w:r>
      <w:r w:rsidRPr="005642CF">
        <w:rPr>
          <w:rFonts w:ascii="Times New Roman" w:eastAsia="Times New Roman" w:hAnsi="Times New Roman"/>
          <w:bCs/>
          <w:iCs/>
          <w:szCs w:val="24"/>
        </w:rPr>
        <w:t>, где</w:t>
      </w:r>
    </w:p>
    <w:p w14:paraId="7FC12852" w14:textId="77777777" w:rsidR="005642CF" w:rsidRPr="005642CF" w:rsidRDefault="005642CF" w:rsidP="005642C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5642CF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дохода(j)</w:t>
      </w:r>
      <w:r w:rsidRPr="005642CF">
        <w:rPr>
          <w:rFonts w:ascii="Times New Roman" w:eastAsia="Times New Roman" w:hAnsi="Times New Roman"/>
          <w:bCs/>
          <w:iCs/>
          <w:szCs w:val="24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034CC73" w14:textId="77777777" w:rsidR="005642CF" w:rsidRPr="005642CF" w:rsidRDefault="005642CF" w:rsidP="005642C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5642CF">
        <w:rPr>
          <w:rFonts w:ascii="Times New Roman" w:eastAsia="Times New Roman" w:hAnsi="Times New Roman"/>
          <w:bCs/>
          <w:i/>
          <w:iCs/>
          <w:szCs w:val="24"/>
        </w:rPr>
        <w:t>Nom</w:t>
      </w:r>
      <w:r w:rsidRPr="005642CF">
        <w:rPr>
          <w:rFonts w:ascii="Times New Roman" w:eastAsia="Times New Roman" w:hAnsi="Times New Roman"/>
          <w:bCs/>
          <w:iCs/>
          <w:szCs w:val="24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BB0D986" w14:textId="74941896" w:rsidR="005642CF" w:rsidRPr="00A90B59" w:rsidRDefault="005642CF" w:rsidP="005642CF">
      <w:pPr>
        <w:pStyle w:val="Default"/>
        <w:spacing w:before="120"/>
        <w:jc w:val="both"/>
        <w:rPr>
          <w:rFonts w:eastAsia="Times New Roman"/>
          <w:bCs/>
          <w:iCs/>
          <w:color w:val="auto"/>
          <w:sz w:val="22"/>
        </w:rPr>
      </w:pPr>
      <w:r w:rsidRPr="005642CF">
        <w:rPr>
          <w:rFonts w:eastAsia="Times New Roman"/>
          <w:bCs/>
          <w:iCs/>
          <w:color w:val="auto"/>
          <w:sz w:val="22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bookmarkEnd w:id="0"/>
    <w:bookmarkEnd w:id="1"/>
    <w:bookmarkEnd w:id="2"/>
    <w:p w14:paraId="7EC3F969" w14:textId="77777777" w:rsidR="005642CF" w:rsidRPr="005642CF" w:rsidRDefault="005642CF" w:rsidP="005642CF">
      <w:pPr>
        <w:widowControl w:val="0"/>
        <w:suppressAutoHyphens/>
        <w:spacing w:before="120" w:line="240" w:lineRule="auto"/>
        <w:jc w:val="both"/>
        <w:rPr>
          <w:rFonts w:ascii="Times New Roman" w:eastAsia="Times New Roman" w:hAnsi="Times New Roman"/>
          <w:szCs w:val="24"/>
        </w:rPr>
      </w:pPr>
      <w:r w:rsidRPr="005642CF">
        <w:rPr>
          <w:rFonts w:ascii="Times New Roman" w:eastAsia="Times New Roman" w:hAnsi="Times New Roman"/>
          <w:color w:val="000000"/>
          <w:szCs w:val="24"/>
        </w:rPr>
        <w:t xml:space="preserve">В случае, если по мнению Расчетного агента, действующего добросовестно и коммерчески обоснованно, происходит распределение, выпуск или выплата в форме дивиденда эмитентом Референсного актива текущим владельцам Референсного актива (далее – </w:t>
      </w:r>
      <w:r w:rsidRPr="005642CF">
        <w:rPr>
          <w:rFonts w:ascii="Times New Roman" w:eastAsia="Times New Roman" w:hAnsi="Times New Roman"/>
          <w:b/>
          <w:i/>
          <w:color w:val="000000"/>
          <w:szCs w:val="24"/>
        </w:rPr>
        <w:t>Событие корректировки</w:t>
      </w:r>
      <w:r w:rsidRPr="005642CF">
        <w:rPr>
          <w:rFonts w:ascii="Times New Roman" w:eastAsia="Times New Roman" w:hAnsi="Times New Roman"/>
          <w:color w:val="000000"/>
          <w:szCs w:val="24"/>
        </w:rPr>
        <w:t>):</w:t>
      </w:r>
    </w:p>
    <w:p w14:paraId="3F441A58" w14:textId="77777777" w:rsidR="005642CF" w:rsidRPr="005642CF" w:rsidRDefault="005642CF" w:rsidP="005642C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/>
          <w:color w:val="000000"/>
          <w:szCs w:val="24"/>
        </w:rPr>
      </w:pPr>
      <w:r w:rsidRPr="005642CF">
        <w:rPr>
          <w:rFonts w:ascii="Times New Roman" w:eastAsia="Times New Roman" w:hAnsi="Times New Roman"/>
          <w:color w:val="000000"/>
          <w:szCs w:val="24"/>
        </w:rPr>
        <w:t>Референсного актива;</w:t>
      </w:r>
    </w:p>
    <w:p w14:paraId="32B37CB5" w14:textId="77777777" w:rsidR="005642CF" w:rsidRPr="005642CF" w:rsidRDefault="005642CF" w:rsidP="005642C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/>
          <w:color w:val="000000"/>
          <w:szCs w:val="24"/>
        </w:rPr>
      </w:pPr>
      <w:r w:rsidRPr="005642CF">
        <w:rPr>
          <w:rFonts w:ascii="Times New Roman" w:eastAsia="Times New Roman" w:hAnsi="Times New Roman"/>
          <w:color w:val="000000"/>
          <w:szCs w:val="24"/>
        </w:rPr>
        <w:t>других акций или иных ценных бумаг, предоставляющих право на получение дохода (дивидендов) от эмитента Референсного актива;</w:t>
      </w:r>
    </w:p>
    <w:p w14:paraId="2AC40452" w14:textId="77777777" w:rsidR="005642CF" w:rsidRPr="005642CF" w:rsidRDefault="005642CF" w:rsidP="005642C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/>
          <w:color w:val="000000"/>
          <w:szCs w:val="24"/>
        </w:rPr>
      </w:pPr>
      <w:r w:rsidRPr="005642CF">
        <w:rPr>
          <w:rFonts w:ascii="Times New Roman" w:eastAsia="Times New Roman" w:hAnsi="Times New Roman"/>
          <w:color w:val="000000"/>
          <w:szCs w:val="24"/>
        </w:rPr>
        <w:t>акций или иных ценных бумаг другого эмитента, приобретенных (прямо или косвенно) эмитентом Референсного актива в результате выделения или аналогичной сделки;</w:t>
      </w:r>
    </w:p>
    <w:p w14:paraId="3CE68C17" w14:textId="77777777" w:rsidR="005642CF" w:rsidRPr="005642CF" w:rsidRDefault="005642CF" w:rsidP="005642C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/>
          <w:color w:val="000000"/>
          <w:szCs w:val="24"/>
        </w:rPr>
      </w:pPr>
      <w:r w:rsidRPr="005642CF">
        <w:rPr>
          <w:rFonts w:ascii="Times New Roman" w:eastAsia="Times New Roman" w:hAnsi="Times New Roman"/>
          <w:color w:val="000000"/>
          <w:szCs w:val="24"/>
        </w:rPr>
        <w:t>любых других ценных бумаг или иного имущества, в каждом случае безвозмездно либо за плату или иное встречное предоставление, меньшее чем преобладающая рыночная цена имущества, распределяемого или переданного в форме дивиденда, определенная Расчетным агентом;</w:t>
      </w:r>
    </w:p>
    <w:p w14:paraId="73992113" w14:textId="77777777" w:rsidR="005642CF" w:rsidRPr="005642CF" w:rsidRDefault="005642CF" w:rsidP="005642CF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5642CF">
        <w:rPr>
          <w:rFonts w:ascii="Times New Roman" w:eastAsia="Times New Roman" w:hAnsi="Times New Roman"/>
          <w:color w:val="000000"/>
          <w:szCs w:val="24"/>
        </w:rPr>
        <w:t xml:space="preserve">то величина </w:t>
      </w:r>
      <w:r w:rsidRPr="005642CF">
        <w:rPr>
          <w:rFonts w:ascii="Times New Roman" w:eastAsia="Times New Roman" w:hAnsi="Times New Roman"/>
          <w:b/>
          <w:i/>
          <w:color w:val="000000"/>
          <w:szCs w:val="24"/>
        </w:rPr>
        <w:t>Si(j)</w:t>
      </w:r>
      <w:r w:rsidRPr="005642CF">
        <w:rPr>
          <w:rFonts w:ascii="Times New Roman" w:eastAsia="Times New Roman" w:hAnsi="Times New Roman"/>
          <w:color w:val="000000"/>
          <w:szCs w:val="24"/>
        </w:rPr>
        <w:t xml:space="preserve"> для соответствующего Референсного актива определяется с учётом корректировок, производимых Расчётным агентом.</w:t>
      </w:r>
    </w:p>
    <w:p w14:paraId="5496C41F" w14:textId="77777777" w:rsidR="005642CF" w:rsidRPr="005642CF" w:rsidRDefault="005642CF" w:rsidP="005642CF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</w:p>
    <w:p w14:paraId="36EEBA98" w14:textId="77777777" w:rsidR="005642CF" w:rsidRPr="005642CF" w:rsidRDefault="005642CF" w:rsidP="005642CF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color w:val="000000"/>
          <w:szCs w:val="24"/>
        </w:rPr>
      </w:pPr>
      <w:bookmarkStart w:id="4" w:name="_Hlk57069695"/>
      <w:bookmarkStart w:id="5" w:name="_Hlk56955953"/>
      <w:r w:rsidRPr="005642CF">
        <w:rPr>
          <w:rFonts w:ascii="Times New Roman" w:eastAsia="Times New Roman" w:hAnsi="Times New Roman"/>
          <w:color w:val="000000"/>
          <w:szCs w:val="24"/>
        </w:rPr>
        <w:t xml:space="preserve">Расчетный агент определяет содержание и дату наступления соответствующего События корректировки, производит корректировки, и определяет дату или даты вступления соответствующих корректировок </w:t>
      </w:r>
      <w:bookmarkEnd w:id="4"/>
      <w:r w:rsidRPr="005642CF">
        <w:rPr>
          <w:rFonts w:ascii="Times New Roman" w:eastAsia="Times New Roman" w:hAnsi="Times New Roman"/>
          <w:color w:val="000000"/>
          <w:szCs w:val="24"/>
        </w:rPr>
        <w:t xml:space="preserve">в силу с целью устранения искажений во влиянии действительного значения Референсного актива </w:t>
      </w:r>
      <w:bookmarkEnd w:id="5"/>
      <w:r w:rsidRPr="005642CF">
        <w:rPr>
          <w:rFonts w:ascii="Times New Roman" w:eastAsia="Times New Roman" w:hAnsi="Times New Roman"/>
          <w:color w:val="000000"/>
          <w:szCs w:val="24"/>
        </w:rPr>
        <w:t xml:space="preserve">на суммы выплат дополнительного дохода по Биржевым облигациям, которые имеют место в связи с наступлением События корректировки. Расчетный агент при осуществлении корректировки обязан действовать добросовестно, коммерчески обоснованно и разумно, учитывать рыночную практику осуществления корректировок, учитывать коммерческие особенности различных Событий корректировок и, насколько это возможно, осуществлять корректировки последовательно и согласованно с другими корректировками Расчетного агента, если в отношении Референсного актива было осуществлено более одной корректировки. </w:t>
      </w:r>
    </w:p>
    <w:p w14:paraId="7F79312E" w14:textId="77777777" w:rsidR="005642CF" w:rsidRPr="005642CF" w:rsidRDefault="005642CF" w:rsidP="005642CF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color w:val="000000"/>
          <w:szCs w:val="24"/>
        </w:rPr>
      </w:pPr>
      <w:r w:rsidRPr="005642CF">
        <w:rPr>
          <w:rFonts w:ascii="Times New Roman" w:eastAsia="Times New Roman" w:hAnsi="Times New Roman"/>
          <w:color w:val="000000"/>
          <w:szCs w:val="24"/>
        </w:rPr>
        <w:t xml:space="preserve">При определении наступления События корректировки Расчётный агент вправе использовать публично раскрываемую </w:t>
      </w:r>
      <w:r w:rsidRPr="005642CF">
        <w:rPr>
          <w:rFonts w:ascii="Times New Roman" w:eastAsia="Times New Roman" w:hAnsi="Times New Roman"/>
          <w:szCs w:val="24"/>
        </w:rPr>
        <w:t>эмитентом Референсного актива</w:t>
      </w:r>
      <w:r w:rsidRPr="005642CF">
        <w:rPr>
          <w:rFonts w:ascii="Times New Roman" w:eastAsia="Times New Roman" w:hAnsi="Times New Roman"/>
          <w:color w:val="000000"/>
          <w:szCs w:val="24"/>
        </w:rPr>
        <w:t xml:space="preserve"> информацию, а также иную официальную опубликованную информацию.</w:t>
      </w:r>
    </w:p>
    <w:p w14:paraId="6760BB5A" w14:textId="77777777" w:rsidR="005642CF" w:rsidRPr="005642CF" w:rsidRDefault="005642CF" w:rsidP="005642CF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color w:val="000000"/>
          <w:szCs w:val="24"/>
        </w:rPr>
      </w:pPr>
      <w:r w:rsidRPr="005642CF">
        <w:rPr>
          <w:rFonts w:ascii="Times New Roman" w:eastAsia="Times New Roman" w:hAnsi="Times New Roman"/>
          <w:color w:val="000000"/>
          <w:szCs w:val="24"/>
        </w:rPr>
        <w:t>Произведённые Расчётным агентом корректировки не будут оказывать влияния на значения, которые принимал Референсный актив в даты, предшествующие дате вступления соответствующей корректировки в силу.</w:t>
      </w:r>
    </w:p>
    <w:p w14:paraId="05005F77" w14:textId="77777777" w:rsidR="005642CF" w:rsidRPr="005642CF" w:rsidRDefault="005642CF" w:rsidP="005642CF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color w:val="000000"/>
          <w:szCs w:val="24"/>
        </w:rPr>
      </w:pPr>
      <w:r w:rsidRPr="005642CF">
        <w:rPr>
          <w:rFonts w:ascii="Times New Roman" w:eastAsia="Times New Roman" w:hAnsi="Times New Roman"/>
          <w:color w:val="000000"/>
          <w:szCs w:val="24"/>
        </w:rPr>
        <w:t>Количество корректировок в пределах срока обращения Биржевых облигаций не ограничено.</w:t>
      </w:r>
    </w:p>
    <w:p w14:paraId="7A5AFDB1" w14:textId="77777777" w:rsidR="005642CF" w:rsidRPr="005642CF" w:rsidRDefault="005642CF" w:rsidP="005642C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Cs w:val="24"/>
        </w:rPr>
      </w:pPr>
      <w:r w:rsidRPr="005642CF">
        <w:rPr>
          <w:rFonts w:ascii="Times New Roman" w:eastAsia="Times New Roman" w:hAnsi="Times New Roman"/>
          <w:color w:val="000000"/>
          <w:szCs w:val="24"/>
        </w:rPr>
        <w:t>Расчётный агент осуществляет корректировку не позднее 5 (пяти) Рабочих дней с даты, в которую ему стало известно о наступлении соответствующего События корректировки, и в любом случае не позднее дня, предшествующего наиболее ранней после наступления События корректировки Даты оценки, даты выплаты дополнительного дохода и(или) даты, в которую он обязан передать информацию о достижении Референсных значений и о величине дополнительного дохода по Биржевым облигациям Эмитенту. В течение этих же сроков Расчётный агент должен сообщить Эмитенту информацию о наступлении События корректировки и произведённых корректировках.</w:t>
      </w:r>
    </w:p>
    <w:p w14:paraId="0FC3689D" w14:textId="77777777" w:rsidR="005642CF" w:rsidRPr="005642CF" w:rsidRDefault="005642CF" w:rsidP="005642C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Cs w:val="24"/>
        </w:rPr>
      </w:pPr>
      <w:r w:rsidRPr="005642CF">
        <w:rPr>
          <w:rFonts w:ascii="Times New Roman" w:eastAsia="Times New Roman" w:hAnsi="Times New Roman"/>
          <w:color w:val="000000"/>
          <w:szCs w:val="24"/>
        </w:rPr>
        <w:t>Эмитент обязан раскрыть информацию о наступлении События корректировки и корректировках, произведённых Расчётным агентом, не позднее 1 (одного) дня с даты получения информации о соответствующей корректировке от Расчётного агента и в любом случае не позднее даты раскрытия Эмитентом информации, содержащей сведения о размере наиболее ранней после получения информации о корректировке от Расчётного агента выплаты по Биржевым облигациям.</w:t>
      </w:r>
    </w:p>
    <w:p w14:paraId="2C5834C4" w14:textId="56910582" w:rsidR="005642CF" w:rsidRPr="005642CF" w:rsidRDefault="005642CF" w:rsidP="005642CF">
      <w:pPr>
        <w:pStyle w:val="Default"/>
        <w:spacing w:before="120"/>
        <w:jc w:val="both"/>
        <w:rPr>
          <w:b/>
          <w:i/>
          <w:sz w:val="32"/>
          <w:szCs w:val="22"/>
        </w:rPr>
      </w:pPr>
      <w:r w:rsidRPr="005642CF">
        <w:rPr>
          <w:rFonts w:eastAsia="Times New Roman"/>
          <w:sz w:val="22"/>
        </w:rPr>
        <w:t>Если в настоящем пункте выше не установлено специальных последствий для какого-либо События корректировки, при наступлении таких Событий корректировки Расчётный агент производит расчёт корректировки таким образом, чтобы сумма дополнительного дохода, которую получит каждый владелец Биржевых облигаций в расчёте на имеющееся у него количество Биржевых облигаций, была равна сумме, которую получил бы такой владелец Биржевых облигаций при выплате дополнительного дохода в ту же дату в расчёте на то же количество Биржевых облигаций, если бы соответствующее Событие корректировки не наступило (без учёта иных факторов).</w:t>
      </w:r>
    </w:p>
    <w:sectPr w:rsidR="005642CF" w:rsidRPr="005642CF" w:rsidSect="007E7BCE">
      <w:footerReference w:type="default" r:id="rId12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4162C" w14:textId="77777777" w:rsidR="00406179" w:rsidRDefault="00406179" w:rsidP="0053664B">
      <w:pPr>
        <w:spacing w:after="0" w:line="240" w:lineRule="auto"/>
      </w:pPr>
      <w:r>
        <w:separator/>
      </w:r>
    </w:p>
  </w:endnote>
  <w:endnote w:type="continuationSeparator" w:id="0">
    <w:p w14:paraId="16DDE24F" w14:textId="77777777" w:rsidR="00406179" w:rsidRDefault="00406179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90B0A96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14849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48245" w14:textId="77777777" w:rsidR="00406179" w:rsidRDefault="00406179" w:rsidP="0053664B">
      <w:pPr>
        <w:spacing w:after="0" w:line="240" w:lineRule="auto"/>
      </w:pPr>
      <w:r>
        <w:separator/>
      </w:r>
    </w:p>
  </w:footnote>
  <w:footnote w:type="continuationSeparator" w:id="0">
    <w:p w14:paraId="28867F96" w14:textId="77777777" w:rsidR="00406179" w:rsidRDefault="00406179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0B5C7E33"/>
    <w:multiLevelType w:val="hybridMultilevel"/>
    <w:tmpl w:val="2C40E888"/>
    <w:lvl w:ilvl="0" w:tplc="60561CBA">
      <w:start w:val="1"/>
      <w:numFmt w:val="lowerRoman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8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2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3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3"/>
  </w:num>
  <w:num w:numId="5">
    <w:abstractNumId w:val="12"/>
  </w:num>
  <w:num w:numId="6">
    <w:abstractNumId w:val="9"/>
  </w:num>
  <w:num w:numId="7">
    <w:abstractNumId w:val="17"/>
  </w:num>
  <w:num w:numId="8">
    <w:abstractNumId w:val="4"/>
  </w:num>
  <w:num w:numId="9">
    <w:abstractNumId w:val="36"/>
  </w:num>
  <w:num w:numId="10">
    <w:abstractNumId w:val="19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8"/>
  </w:num>
  <w:num w:numId="16">
    <w:abstractNumId w:val="7"/>
  </w:num>
  <w:num w:numId="17">
    <w:abstractNumId w:val="1"/>
  </w:num>
  <w:num w:numId="18">
    <w:abstractNumId w:val="0"/>
  </w:num>
  <w:num w:numId="19">
    <w:abstractNumId w:val="47"/>
  </w:num>
  <w:num w:numId="20">
    <w:abstractNumId w:val="26"/>
  </w:num>
  <w:num w:numId="21">
    <w:abstractNumId w:val="44"/>
  </w:num>
  <w:num w:numId="22">
    <w:abstractNumId w:val="33"/>
  </w:num>
  <w:num w:numId="23">
    <w:abstractNumId w:val="30"/>
  </w:num>
  <w:num w:numId="24">
    <w:abstractNumId w:val="25"/>
  </w:num>
  <w:num w:numId="25">
    <w:abstractNumId w:val="35"/>
  </w:num>
  <w:num w:numId="26">
    <w:abstractNumId w:val="32"/>
  </w:num>
  <w:num w:numId="27">
    <w:abstractNumId w:val="28"/>
  </w:num>
  <w:num w:numId="28">
    <w:abstractNumId w:val="45"/>
  </w:num>
  <w:num w:numId="29">
    <w:abstractNumId w:val="22"/>
  </w:num>
  <w:num w:numId="30">
    <w:abstractNumId w:val="39"/>
  </w:num>
  <w:num w:numId="31">
    <w:abstractNumId w:val="40"/>
  </w:num>
  <w:num w:numId="32">
    <w:abstractNumId w:val="34"/>
  </w:num>
  <w:num w:numId="33">
    <w:abstractNumId w:val="20"/>
  </w:num>
  <w:num w:numId="34">
    <w:abstractNumId w:val="27"/>
  </w:num>
  <w:num w:numId="35">
    <w:abstractNumId w:val="42"/>
  </w:num>
  <w:num w:numId="36">
    <w:abstractNumId w:val="29"/>
  </w:num>
  <w:num w:numId="37">
    <w:abstractNumId w:val="46"/>
  </w:num>
  <w:num w:numId="38">
    <w:abstractNumId w:val="31"/>
  </w:num>
  <w:num w:numId="39">
    <w:abstractNumId w:val="21"/>
  </w:num>
  <w:num w:numId="40">
    <w:abstractNumId w:val="14"/>
  </w:num>
  <w:num w:numId="41">
    <w:abstractNumId w:val="13"/>
  </w:num>
  <w:num w:numId="42">
    <w:abstractNumId w:val="43"/>
  </w:num>
  <w:num w:numId="43">
    <w:abstractNumId w:val="37"/>
  </w:num>
  <w:num w:numId="44">
    <w:abstractNumId w:val="16"/>
  </w:num>
  <w:num w:numId="45">
    <w:abstractNumId w:val="18"/>
  </w:num>
  <w:num w:numId="46">
    <w:abstractNumId w:val="41"/>
  </w:num>
  <w:num w:numId="47">
    <w:abstractNumId w:val="24"/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6179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42CF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0B59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4849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2108BE65-ED4F-49BB-A512-DEBFA78F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stocks/ibm/historica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erse-frankfurt.de/equity/sap-se/price-history/historical-prices-and-volum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sdaq.com/market-activity/stocks/amzn/historic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sdaq.com/market-activity/stocks/msft/historic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65FC-B047-46C2-82A9-425ADDF7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5742</Words>
  <Characters>32730</Characters>
  <Application>Microsoft Office Word</Application>
  <DocSecurity>0</DocSecurity>
  <Lines>272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2021-03-30T11:34:00Z</dcterms:created>
  <dcterms:modified xsi:type="dcterms:W3CDTF">2021-03-30T11:34:00Z</dcterms:modified>
</cp:coreProperties>
</file>