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7440CD9" w:rsidR="00996E29" w:rsidRPr="001A7ABD" w:rsidRDefault="007A4AD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A62CAF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7A4AD1" w:rsidRPr="007A4AD1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0342D" w:rsidRPr="00E0342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E0342D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1154A8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7A4AD1" w:rsidRPr="007A4AD1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EE774E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7A4AD1" w:rsidRPr="007A4AD1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F079AEE" w:rsidR="00610E7E" w:rsidRPr="00FC2AE6" w:rsidRDefault="00E0342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AC68EA" w:rsidRPr="006C1CFE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Сто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EB0F08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7A4AD1" w:rsidRPr="007A4AD1">
        <w:rPr>
          <w:b/>
          <w:bCs/>
          <w:i/>
          <w:iCs/>
          <w:color w:val="000000" w:themeColor="text1"/>
          <w:sz w:val="22"/>
          <w:szCs w:val="22"/>
        </w:rPr>
        <w:t>28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1A4BE4" w:rsidRPr="001A4BE4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3A791F13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, 7, 8, 9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270324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</w:t>
      </w:r>
      <w:r w:rsidR="006C1CFE">
        <w:rPr>
          <w:rFonts w:ascii="Times New Roman" w:eastAsia="Times New Roman" w:hAnsi="Times New Roman"/>
          <w:bCs/>
          <w:i/>
          <w:iCs/>
          <w:szCs w:val="20"/>
        </w:rPr>
        <w:t xml:space="preserve">охода с порядковым номером j = 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10</w:t>
      </w:r>
    </w:p>
    <w:p w14:paraId="189E9DFB" w14:textId="76418263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3E9AA0D4" w:rsidR="0013727A" w:rsidRPr="00E0342D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= 1, 2, 3, 4, 5, 6, 7</w:t>
      </w:r>
      <w:r w:rsidR="006C1CFE" w:rsidRPr="006C1CFE">
        <w:rPr>
          <w:rFonts w:ascii="Times New Roman" w:eastAsia="Times New Roman" w:hAnsi="Times New Roman"/>
          <w:szCs w:val="20"/>
        </w:rPr>
        <w:t>, 8, 9, 10</w:t>
      </w:r>
      <w:r w:rsidRPr="0013727A">
        <w:rPr>
          <w:rFonts w:ascii="Times New Roman" w:eastAsia="Times New Roman" w:hAnsi="Times New Roman"/>
          <w:szCs w:val="20"/>
        </w:rPr>
        <w:t xml:space="preserve">); </w:t>
      </w:r>
    </w:p>
    <w:p w14:paraId="25A180E5" w14:textId="77777777" w:rsidR="007A4AD1" w:rsidRPr="007A4AD1" w:rsidRDefault="007A4AD1" w:rsidP="007A4A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u w:val="single"/>
        </w:rPr>
      </w:pPr>
      <w:r w:rsidRPr="007A4AD1">
        <w:rPr>
          <w:rFonts w:ascii="Times New Roman" w:eastAsia="Times New Roman" w:hAnsi="Times New Roman"/>
          <w:b/>
          <w:lang w:val="en-US"/>
        </w:rPr>
        <w:t>S</w:t>
      </w:r>
      <w:r w:rsidRPr="007A4AD1">
        <w:rPr>
          <w:rFonts w:ascii="Times New Roman" w:eastAsia="Times New Roman" w:hAnsi="Times New Roman"/>
          <w:b/>
          <w:i/>
          <w:iCs/>
        </w:rPr>
        <w:t>(0)</w:t>
      </w:r>
      <w:r w:rsidRPr="007A4AD1">
        <w:rPr>
          <w:rFonts w:ascii="Times New Roman" w:eastAsia="Times New Roman" w:hAnsi="Times New Roman"/>
          <w:i/>
          <w:iCs/>
        </w:rPr>
        <w:t xml:space="preserve"> </w:t>
      </w:r>
      <w:r w:rsidRPr="007A4AD1">
        <w:rPr>
          <w:rFonts w:ascii="Times New Roman" w:eastAsia="Times New Roman" w:hAnsi="Times New Roman"/>
          <w:color w:val="00000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FDA8A36" w14:textId="77777777" w:rsidR="007A4AD1" w:rsidRPr="007A4AD1" w:rsidRDefault="007A4AD1" w:rsidP="007A4A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</w:rPr>
      </w:pPr>
      <w:r w:rsidRPr="007A4AD1">
        <w:rPr>
          <w:rFonts w:ascii="Times New Roman" w:eastAsia="Times New Roman" w:hAnsi="Times New Roman"/>
          <w:b/>
          <w:lang w:val="en-US"/>
        </w:rPr>
        <w:t>S</w:t>
      </w:r>
      <w:r w:rsidRPr="007A4AD1">
        <w:rPr>
          <w:rFonts w:ascii="Times New Roman" w:eastAsia="Times New Roman" w:hAnsi="Times New Roman"/>
          <w:b/>
          <w:i/>
          <w:iCs/>
        </w:rPr>
        <w:t>(</w:t>
      </w:r>
      <w:r w:rsidRPr="007A4AD1">
        <w:rPr>
          <w:rFonts w:ascii="Times New Roman" w:eastAsia="Times New Roman" w:hAnsi="Times New Roman"/>
          <w:b/>
          <w:i/>
          <w:iCs/>
          <w:lang w:val="en-US"/>
        </w:rPr>
        <w:t>j</w:t>
      </w:r>
      <w:r w:rsidRPr="007A4AD1">
        <w:rPr>
          <w:rFonts w:ascii="Times New Roman" w:eastAsia="Times New Roman" w:hAnsi="Times New Roman"/>
          <w:b/>
          <w:i/>
          <w:iCs/>
        </w:rPr>
        <w:t>)</w:t>
      </w:r>
      <w:r w:rsidRPr="007A4AD1">
        <w:rPr>
          <w:rFonts w:ascii="Times New Roman" w:eastAsia="Times New Roman" w:hAnsi="Times New Roman"/>
          <w:color w:val="000000"/>
        </w:rPr>
        <w:t xml:space="preserve"> – значение Референсного актива, как оно определено в Источнике цены,</w:t>
      </w:r>
      <w:r w:rsidRPr="007A4AD1">
        <w:rPr>
          <w:rFonts w:ascii="Times New Roman" w:eastAsia="Times New Roman" w:hAnsi="Times New Roman"/>
          <w:i/>
          <w:iCs/>
          <w:color w:val="000000"/>
        </w:rPr>
        <w:t xml:space="preserve"> </w:t>
      </w:r>
      <w:r w:rsidRPr="007A4AD1">
        <w:rPr>
          <w:rFonts w:ascii="Times New Roman" w:eastAsia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7A4AD1">
        <w:rPr>
          <w:rFonts w:ascii="Times New Roman" w:eastAsia="Times New Roman" w:hAnsi="Times New Roman"/>
          <w:i/>
          <w:iCs/>
          <w:color w:val="000000"/>
        </w:rPr>
        <w:t>(</w:t>
      </w:r>
      <w:r w:rsidRPr="007A4AD1">
        <w:rPr>
          <w:rFonts w:ascii="Times New Roman" w:eastAsia="Times New Roman" w:hAnsi="Times New Roman"/>
          <w:i/>
          <w:iCs/>
          <w:color w:val="000000"/>
          <w:lang w:val="en-US"/>
        </w:rPr>
        <w:t>j</w:t>
      </w:r>
      <w:r w:rsidRPr="007A4AD1">
        <w:rPr>
          <w:rFonts w:ascii="Times New Roman" w:eastAsia="Times New Roman" w:hAnsi="Times New Roman"/>
          <w:i/>
          <w:iCs/>
          <w:color w:val="000000"/>
        </w:rPr>
        <w:t>)</w:t>
      </w:r>
      <w:r w:rsidRPr="007A4AD1">
        <w:rPr>
          <w:rFonts w:ascii="Times New Roman" w:eastAsia="Times New Roman" w:hAnsi="Times New Roman"/>
          <w:color w:val="000000"/>
        </w:rPr>
        <w:t xml:space="preserve">. </w:t>
      </w:r>
    </w:p>
    <w:p w14:paraId="3DF51C39" w14:textId="77777777" w:rsidR="007A4AD1" w:rsidRPr="007A4AD1" w:rsidRDefault="007A4AD1" w:rsidP="007A4AD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</w:rPr>
      </w:pPr>
      <w:r w:rsidRPr="007A4AD1">
        <w:rPr>
          <w:rFonts w:ascii="Times New Roman" w:eastAsia="Times New Roman" w:hAnsi="Times New Roman"/>
          <w:b/>
          <w:i/>
          <w:color w:val="000000"/>
          <w:lang w:val="en-US"/>
        </w:rPr>
        <w:t>FX</w:t>
      </w:r>
      <w:r w:rsidRPr="007A4AD1">
        <w:rPr>
          <w:rFonts w:ascii="Times New Roman" w:eastAsia="Times New Roman" w:hAnsi="Times New Roman"/>
          <w:color w:val="000000"/>
        </w:rPr>
        <w:t xml:space="preserve"> – валютный множитель. Определяется как 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EURRUB</w:t>
      </w:r>
      <w:r w:rsidRPr="007A4AD1">
        <w:rPr>
          <w:rFonts w:ascii="Times New Roman" w:eastAsia="Times New Roman" w:hAnsi="Times New Roman"/>
          <w:bCs/>
          <w:i/>
          <w:iCs/>
        </w:rPr>
        <w:t>(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7A4AD1">
        <w:rPr>
          <w:rFonts w:ascii="Times New Roman" w:eastAsia="Times New Roman" w:hAnsi="Times New Roman"/>
          <w:bCs/>
          <w:i/>
          <w:iCs/>
        </w:rPr>
        <w:t>)/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EURRUB</w:t>
      </w:r>
      <w:r w:rsidRPr="007A4AD1">
        <w:rPr>
          <w:rFonts w:ascii="Times New Roman" w:eastAsia="Times New Roman" w:hAnsi="Times New Roman"/>
          <w:bCs/>
          <w:i/>
          <w:iCs/>
        </w:rPr>
        <w:t xml:space="preserve">(0), </w:t>
      </w:r>
      <w:r w:rsidRPr="007A4AD1">
        <w:rPr>
          <w:rFonts w:ascii="Times New Roman" w:eastAsia="Times New Roman" w:hAnsi="Times New Roman"/>
          <w:bCs/>
          <w:iCs/>
        </w:rPr>
        <w:t>где:</w:t>
      </w:r>
    </w:p>
    <w:p w14:paraId="7F48920B" w14:textId="77777777" w:rsidR="007A4AD1" w:rsidRPr="007A4AD1" w:rsidRDefault="007A4AD1" w:rsidP="007A4AD1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</w:rPr>
      </w:pPr>
      <w:r w:rsidRPr="007A4AD1">
        <w:rPr>
          <w:rFonts w:ascii="Times New Roman" w:eastAsia="Times New Roman" w:hAnsi="Times New Roman"/>
          <w:bCs/>
          <w:i/>
          <w:iCs/>
          <w:lang w:val="en-US"/>
        </w:rPr>
        <w:t>EURRUB</w:t>
      </w:r>
      <w:r w:rsidRPr="007A4AD1">
        <w:rPr>
          <w:rFonts w:ascii="Times New Roman" w:eastAsia="Times New Roman" w:hAnsi="Times New Roman"/>
          <w:bCs/>
          <w:i/>
          <w:iCs/>
        </w:rPr>
        <w:t>(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7A4AD1">
        <w:rPr>
          <w:rFonts w:ascii="Times New Roman" w:eastAsia="Times New Roman" w:hAnsi="Times New Roman"/>
          <w:bCs/>
          <w:i/>
          <w:iCs/>
        </w:rPr>
        <w:t xml:space="preserve">) – </w:t>
      </w:r>
      <w:r w:rsidRPr="007A4AD1">
        <w:rPr>
          <w:rFonts w:ascii="Times New Roman" w:eastAsia="Times New Roman" w:hAnsi="Times New Roman"/>
        </w:rPr>
        <w:t>установленный и опубликованный Банком России курс евро к рублю РФ, действующий по состоянию на Дату определения дополнительного дохода (</w:t>
      </w:r>
      <w:r w:rsidRPr="007A4AD1">
        <w:rPr>
          <w:rFonts w:ascii="Times New Roman" w:eastAsia="Times New Roman" w:hAnsi="Times New Roman"/>
          <w:i/>
          <w:lang w:val="en-US"/>
        </w:rPr>
        <w:t>j</w:t>
      </w:r>
      <w:r w:rsidRPr="007A4AD1">
        <w:rPr>
          <w:rFonts w:ascii="Times New Roman" w:eastAsia="Times New Roman" w:hAnsi="Times New Roman"/>
          <w:i/>
        </w:rPr>
        <w:t>)</w:t>
      </w:r>
      <w:r w:rsidRPr="007A4AD1">
        <w:rPr>
          <w:rFonts w:ascii="Times New Roman" w:eastAsia="Times New Roman" w:hAnsi="Times New Roman"/>
        </w:rPr>
        <w:t>;</w:t>
      </w:r>
    </w:p>
    <w:p w14:paraId="1E1799F2" w14:textId="77777777" w:rsidR="007A4AD1" w:rsidRPr="007A4AD1" w:rsidRDefault="007A4AD1" w:rsidP="007A4AD1">
      <w:pPr>
        <w:spacing w:before="120" w:after="120" w:line="240" w:lineRule="auto"/>
        <w:ind w:left="708"/>
        <w:jc w:val="both"/>
        <w:rPr>
          <w:rFonts w:ascii="Times New Roman" w:eastAsia="Times New Roman" w:hAnsi="Times New Roman"/>
        </w:rPr>
      </w:pPr>
      <w:r w:rsidRPr="007A4AD1">
        <w:rPr>
          <w:rFonts w:ascii="Times New Roman" w:eastAsia="Times New Roman" w:hAnsi="Times New Roman"/>
          <w:bCs/>
          <w:i/>
          <w:iCs/>
          <w:lang w:val="en-US"/>
        </w:rPr>
        <w:t>EURRUB</w:t>
      </w:r>
      <w:r w:rsidRPr="007A4AD1">
        <w:rPr>
          <w:rFonts w:ascii="Times New Roman" w:eastAsia="Times New Roman" w:hAnsi="Times New Roman"/>
          <w:bCs/>
          <w:i/>
          <w:iCs/>
        </w:rPr>
        <w:t xml:space="preserve">(0) – </w:t>
      </w:r>
      <w:r w:rsidRPr="007A4AD1">
        <w:rPr>
          <w:rFonts w:ascii="Times New Roman" w:eastAsia="Times New Roman" w:hAnsi="Times New Roman"/>
        </w:rPr>
        <w:t>установленный и опубликованный Банком России курс евро к рублю РФ, действующий по состоянию на Дату начала размещения Биржевых облигаций.</w:t>
      </w:r>
    </w:p>
    <w:p w14:paraId="0A79AC9D" w14:textId="77777777" w:rsidR="007A4AD1" w:rsidRPr="007A4AD1" w:rsidRDefault="007A4AD1" w:rsidP="007A4AD1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7A4AD1">
        <w:rPr>
          <w:rFonts w:ascii="Times New Roman" w:eastAsia="Times New Roman" w:hAnsi="Times New Roman"/>
          <w:b/>
          <w:bCs/>
          <w:i/>
          <w:iCs/>
        </w:rPr>
        <w:t>Торговый день</w:t>
      </w:r>
      <w:r w:rsidRPr="007A4AD1">
        <w:rPr>
          <w:rFonts w:ascii="Times New Roman" w:eastAsia="Times New Roman" w:hAnsi="Times New Roman"/>
        </w:rPr>
        <w:t xml:space="preserve"> – каждый день, по состоянию на который осуществляется расчет значения Референсного актива.</w:t>
      </w:r>
    </w:p>
    <w:p w14:paraId="78DFB263" w14:textId="77777777" w:rsidR="007A4AD1" w:rsidRPr="007A4AD1" w:rsidRDefault="007A4AD1" w:rsidP="007A4AD1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</w:rPr>
      </w:pPr>
      <w:r w:rsidRPr="007A4AD1">
        <w:rPr>
          <w:rFonts w:ascii="Times New Roman" w:eastAsia="Times New Roman" w:hAnsi="Times New Roman"/>
          <w:b/>
          <w:bCs/>
          <w:i/>
          <w:iCs/>
        </w:rPr>
        <w:t>Дата определения</w:t>
      </w:r>
      <w:r w:rsidRPr="007A4AD1">
        <w:rPr>
          <w:rFonts w:ascii="Times New Roman" w:eastAsia="Times New Roman" w:hAnsi="Times New Roman"/>
          <w:bCs/>
          <w:iCs/>
        </w:rPr>
        <w:t xml:space="preserve"> </w:t>
      </w:r>
      <w:r w:rsidRPr="007A4AD1">
        <w:rPr>
          <w:rFonts w:ascii="Times New Roman" w:eastAsia="Times New Roman" w:hAnsi="Times New Roman"/>
          <w:b/>
          <w:bCs/>
          <w:i/>
          <w:iCs/>
        </w:rPr>
        <w:t>дополнительного дохода</w:t>
      </w:r>
      <w:r w:rsidRPr="007A4AD1">
        <w:rPr>
          <w:rFonts w:ascii="Times New Roman" w:eastAsia="Times New Roman" w:hAnsi="Times New Roman"/>
          <w:bCs/>
          <w:iCs/>
        </w:rPr>
        <w:t xml:space="preserve"> - 2-й (Второй) Торговый день, предшествующий Дате выплаты дополнительного дохода. </w:t>
      </w:r>
      <w:r w:rsidRPr="007A4AD1">
        <w:rPr>
          <w:rFonts w:ascii="Times New Roman" w:eastAsia="Times New Roman" w:hAnsi="Times New Roman"/>
          <w:color w:val="000000"/>
        </w:rPr>
        <w:t>Если значение Референсного актива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Референсного актива не будет определено.</w:t>
      </w:r>
    </w:p>
    <w:p w14:paraId="38CB7860" w14:textId="77777777" w:rsidR="007A4AD1" w:rsidRPr="007A4AD1" w:rsidRDefault="007A4AD1" w:rsidP="007A4AD1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</w:rPr>
      </w:pPr>
    </w:p>
    <w:p w14:paraId="70D5D0D1" w14:textId="77777777" w:rsidR="007A4AD1" w:rsidRPr="007A4AD1" w:rsidRDefault="007A4AD1" w:rsidP="007A4AD1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</w:rPr>
      </w:pPr>
      <w:r w:rsidRPr="007A4AD1">
        <w:rPr>
          <w:rFonts w:ascii="Times New Roman" w:eastAsia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6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7A4AD1" w:rsidRPr="007A4AD1" w14:paraId="53DE10A1" w14:textId="77777777" w:rsidTr="005E6A8B">
        <w:tc>
          <w:tcPr>
            <w:tcW w:w="2830" w:type="dxa"/>
          </w:tcPr>
          <w:p w14:paraId="55B8C8E0" w14:textId="77777777" w:rsidR="007A4AD1" w:rsidRPr="007A4AD1" w:rsidRDefault="007A4AD1" w:rsidP="007A4A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7A4AD1">
              <w:rPr>
                <w:rFonts w:ascii="Times New Roman" w:eastAsia="Times New Roman" w:hAnsi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6515" w:type="dxa"/>
          </w:tcPr>
          <w:p w14:paraId="2CFF293F" w14:textId="77777777" w:rsidR="007A4AD1" w:rsidRPr="007A4AD1" w:rsidRDefault="007A4AD1" w:rsidP="007A4A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7A4AD1">
              <w:rPr>
                <w:rFonts w:ascii="Times New Roman" w:eastAsia="Times New Roman" w:hAnsi="Times New Roman"/>
                <w:lang w:val="en-US"/>
              </w:rPr>
              <w:t>ВТБ Капитал Европейские автопроизводители</w:t>
            </w:r>
          </w:p>
        </w:tc>
      </w:tr>
      <w:tr w:rsidR="007A4AD1" w:rsidRPr="007A4AD1" w14:paraId="44657616" w14:textId="77777777" w:rsidTr="005E6A8B">
        <w:tc>
          <w:tcPr>
            <w:tcW w:w="2830" w:type="dxa"/>
          </w:tcPr>
          <w:p w14:paraId="0930D9EB" w14:textId="77777777" w:rsidR="007A4AD1" w:rsidRPr="007A4AD1" w:rsidRDefault="007A4AD1" w:rsidP="007A4A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7A4AD1">
              <w:rPr>
                <w:rFonts w:ascii="Times New Roman" w:eastAsia="Times New Roman" w:hAnsi="Times New Roman"/>
                <w:color w:val="00000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3224AF4A" w14:textId="77777777" w:rsidR="007A4AD1" w:rsidRPr="007A4AD1" w:rsidRDefault="00FC7EC8" w:rsidP="007A4A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7A4AD1" w:rsidRPr="007A4AD1">
                <w:rPr>
                  <w:rFonts w:ascii="Times New Roman" w:eastAsia="Times New Roman" w:hAnsi="Times New Roman"/>
                  <w:color w:val="0563C1"/>
                  <w:u w:val="single"/>
                </w:rPr>
                <w:t>https://index.vtbcapital.ru/VTBCAR/</w:t>
              </w:r>
            </w:hyperlink>
          </w:p>
        </w:tc>
      </w:tr>
    </w:tbl>
    <w:p w14:paraId="036FF96C" w14:textId="77777777" w:rsidR="007A4AD1" w:rsidRPr="007A4AD1" w:rsidRDefault="007A4AD1" w:rsidP="007A4AD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79C04606" w14:textId="77777777" w:rsidR="007A4AD1" w:rsidRPr="007A4AD1" w:rsidRDefault="007A4AD1" w:rsidP="007A4AD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7A4AD1">
        <w:rPr>
          <w:rFonts w:ascii="Times New Roman" w:eastAsia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04B514F" w14:textId="77777777" w:rsidR="007A4AD1" w:rsidRPr="007A4AD1" w:rsidRDefault="007A4AD1" w:rsidP="007A4A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</w:rPr>
      </w:pPr>
      <w:r w:rsidRPr="007A4AD1">
        <w:rPr>
          <w:rFonts w:ascii="Times New Roman" w:eastAsia="Times New Roman" w:hAnsi="Times New Roman"/>
          <w:bCs/>
          <w:i/>
          <w:iCs/>
        </w:rPr>
        <w:t>ДД (руб.)</w:t>
      </w:r>
      <w:r w:rsidRPr="007A4AD1">
        <w:rPr>
          <w:rFonts w:ascii="Times New Roman" w:eastAsia="Times New Roman" w:hAnsi="Times New Roman"/>
          <w:bCs/>
          <w:iCs/>
        </w:rPr>
        <w:t xml:space="preserve"> = </w:t>
      </w:r>
      <w:r w:rsidRPr="007A4AD1">
        <w:rPr>
          <w:rFonts w:ascii="Times New Roman" w:eastAsia="Times New Roman" w:hAnsi="Times New Roman"/>
          <w:bCs/>
          <w:i/>
          <w:iCs/>
        </w:rPr>
        <w:t>Nom ×</w:t>
      </w:r>
      <w:r w:rsidRPr="007A4AD1">
        <w:rPr>
          <w:rFonts w:ascii="Times New Roman" w:eastAsia="Times New Roman" w:hAnsi="Times New Roman"/>
          <w:i/>
        </w:rPr>
        <w:t xml:space="preserve"> </w:t>
      </w:r>
      <w:r w:rsidRPr="007A4AD1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7A4AD1">
        <w:rPr>
          <w:rFonts w:ascii="Times New Roman" w:eastAsia="Times New Roman" w:hAnsi="Times New Roman"/>
          <w:bCs/>
          <w:i/>
          <w:iCs/>
        </w:rPr>
        <w:t>)</w:t>
      </w:r>
      <w:r w:rsidRPr="007A4AD1">
        <w:rPr>
          <w:rFonts w:ascii="Times New Roman" w:eastAsia="Times New Roman" w:hAnsi="Times New Roman"/>
          <w:bCs/>
          <w:iCs/>
        </w:rPr>
        <w:t>, где</w:t>
      </w:r>
    </w:p>
    <w:p w14:paraId="447B2A93" w14:textId="77777777" w:rsidR="007A4AD1" w:rsidRPr="007A4AD1" w:rsidRDefault="007A4AD1" w:rsidP="007A4A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7A4AD1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7A4AD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7A4AD1">
        <w:rPr>
          <w:rFonts w:ascii="Times New Roman" w:eastAsia="Times New Roman" w:hAnsi="Times New Roman"/>
          <w:bCs/>
          <w:i/>
          <w:iCs/>
        </w:rPr>
        <w:t>)</w:t>
      </w:r>
      <w:r w:rsidRPr="007A4AD1">
        <w:rPr>
          <w:rFonts w:ascii="Times New Roman" w:eastAsia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41D324D" w14:textId="77777777" w:rsidR="007A4AD1" w:rsidRPr="007A4AD1" w:rsidRDefault="007A4AD1" w:rsidP="007A4A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7A4AD1">
        <w:rPr>
          <w:rFonts w:ascii="Times New Roman" w:eastAsia="Times New Roman" w:hAnsi="Times New Roman"/>
          <w:bCs/>
          <w:i/>
          <w:iCs/>
        </w:rPr>
        <w:lastRenderedPageBreak/>
        <w:t>Nom</w:t>
      </w:r>
      <w:r w:rsidRPr="007A4AD1">
        <w:rPr>
          <w:rFonts w:ascii="Times New Roman" w:eastAsia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F1F9934" w14:textId="77777777" w:rsidR="007A4AD1" w:rsidRPr="007A4AD1" w:rsidRDefault="007A4AD1" w:rsidP="007A4AD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iCs/>
        </w:rPr>
      </w:pPr>
      <w:r w:rsidRPr="007A4AD1">
        <w:rPr>
          <w:rFonts w:ascii="Times New Roman" w:eastAsia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7DB86256" w14:textId="77777777" w:rsidR="007A4AD1" w:rsidRPr="007A4AD1" w:rsidRDefault="007A4AD1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</w:p>
    <w:sectPr w:rsidR="007A4AD1" w:rsidRPr="007A4AD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F587" w14:textId="77777777" w:rsidR="00FC7EC8" w:rsidRDefault="00FC7EC8" w:rsidP="0053664B">
      <w:pPr>
        <w:spacing w:after="0" w:line="240" w:lineRule="auto"/>
      </w:pPr>
      <w:r>
        <w:separator/>
      </w:r>
    </w:p>
  </w:endnote>
  <w:endnote w:type="continuationSeparator" w:id="0">
    <w:p w14:paraId="39AFEC31" w14:textId="77777777" w:rsidR="00FC7EC8" w:rsidRDefault="00FC7EC8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A9389F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85EF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63D1F" w14:textId="77777777" w:rsidR="00FC7EC8" w:rsidRDefault="00FC7EC8" w:rsidP="0053664B">
      <w:pPr>
        <w:spacing w:after="0" w:line="240" w:lineRule="auto"/>
      </w:pPr>
      <w:r>
        <w:separator/>
      </w:r>
    </w:p>
  </w:footnote>
  <w:footnote w:type="continuationSeparator" w:id="0">
    <w:p w14:paraId="6177EB9B" w14:textId="77777777" w:rsidR="00FC7EC8" w:rsidRDefault="00FC7EC8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4BE4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1CB8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1CFE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4AD1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7F3206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761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5EF3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342D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C7EC8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60020B1-94D5-4BE9-8034-EDAB30D3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7A4AD1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CAR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EB4E-C86B-4EB8-B90B-0081152B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4812</Words>
  <Characters>27431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2021-04-27T13:35:00Z</dcterms:created>
  <dcterms:modified xsi:type="dcterms:W3CDTF">2021-04-27T13:35:00Z</dcterms:modified>
</cp:coreProperties>
</file>