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115CFA4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F80772B" w:rsidR="001A2CF6" w:rsidRPr="00512FB7" w:rsidRDefault="00BF2C1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E0ECB2F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F7B73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BF2C11" w:rsidRPr="00BF2C11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487D2D39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F7B73">
        <w:rPr>
          <w:rFonts w:ascii="Times New Roman" w:hAnsi="Times New Roman"/>
          <w:b/>
          <w:bCs/>
          <w:i/>
          <w:iCs/>
          <w:color w:val="000000"/>
        </w:rPr>
        <w:t>20</w:t>
      </w:r>
      <w:r w:rsidR="00BF2C11" w:rsidRPr="00BF2C11">
        <w:rPr>
          <w:rFonts w:ascii="Times New Roman" w:hAnsi="Times New Roman"/>
          <w:b/>
          <w:bCs/>
          <w:i/>
          <w:iCs/>
          <w:color w:val="000000"/>
        </w:rPr>
        <w:t>5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0873DC30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7F7B73">
        <w:rPr>
          <w:b/>
          <w:i/>
          <w:sz w:val="22"/>
          <w:szCs w:val="22"/>
        </w:rPr>
        <w:t>20</w:t>
      </w:r>
      <w:r w:rsidR="00BF2C11" w:rsidRPr="00BF2C11">
        <w:rPr>
          <w:b/>
          <w:i/>
          <w:sz w:val="22"/>
          <w:szCs w:val="22"/>
        </w:rPr>
        <w:t>5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BE0870" w:rsidRPr="00BE0870">
        <w:rPr>
          <w:b/>
          <w:i/>
          <w:sz w:val="22"/>
          <w:szCs w:val="22"/>
        </w:rPr>
        <w:t>2</w:t>
      </w:r>
      <w:r w:rsidR="001A2CF6" w:rsidRPr="001A2CF6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</w:rPr>
        <w:t>.0</w:t>
      </w:r>
      <w:r w:rsidR="001A2CF6" w:rsidRPr="001A2CF6">
        <w:rPr>
          <w:b/>
          <w:i/>
          <w:sz w:val="22"/>
          <w:szCs w:val="22"/>
        </w:rPr>
        <w:t>2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53838932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>Примерное количество размещаемых Облигаций: 3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Pr="001A2CF6">
        <w:rPr>
          <w:b/>
          <w:bCs/>
          <w:i/>
          <w:iCs/>
          <w:sz w:val="22"/>
          <w:szCs w:val="22"/>
        </w:rPr>
        <w:t>Три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Pr="001A2CF6">
        <w:rPr>
          <w:b/>
          <w:bCs/>
          <w:i/>
          <w:iCs/>
          <w:sz w:val="22"/>
          <w:szCs w:val="22"/>
        </w:rPr>
        <w:t>а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213D7947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BF2C11" w:rsidRPr="00BF2C11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BF2C11" w:rsidRPr="00BF2C11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416D40C9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BF2C11">
        <w:rPr>
          <w:b/>
          <w:bCs/>
          <w:i/>
          <w:iCs/>
          <w:color w:val="000000" w:themeColor="text1"/>
          <w:sz w:val="22"/>
          <w:szCs w:val="22"/>
          <w:lang w:val="en-US"/>
        </w:rPr>
        <w:t>18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BF2C11">
        <w:rPr>
          <w:b/>
          <w:bCs/>
          <w:i/>
          <w:iCs/>
          <w:color w:val="000000" w:themeColor="text1"/>
          <w:sz w:val="22"/>
          <w:szCs w:val="22"/>
          <w:lang w:val="en-US"/>
        </w:rPr>
        <w:t>6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7F7B73"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66058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4.2.4. В случае размещения акционерным обществом акций, ценных бумаг,  конвертируемых в акции, и </w:t>
      </w:r>
      <w:r>
        <w:rPr>
          <w:rFonts w:ascii="Times New Roman" w:hAnsi="Times New Roman"/>
          <w:bCs/>
          <w:iCs/>
        </w:rPr>
        <w:lastRenderedPageBreak/>
        <w:t>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 xml:space="preserve">, указывается, что приобретатель акций должен представить кредитной организации или некредитной финансовой </w:t>
      </w:r>
      <w:r w:rsidR="00DC1FA5" w:rsidRPr="00DC1FA5">
        <w:rPr>
          <w:rFonts w:ascii="Times New Roman" w:hAnsi="Times New Roman"/>
          <w:bCs/>
          <w:iCs/>
        </w:rPr>
        <w:lastRenderedPageBreak/>
        <w:t>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lastRenderedPageBreak/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7E4784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52FFF8BF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7F7B73" w:rsidRPr="007F7B73">
        <w:rPr>
          <w:b/>
          <w:bCs/>
          <w:i/>
          <w:iCs/>
          <w:color w:val="auto"/>
          <w:sz w:val="22"/>
          <w:szCs w:val="22"/>
        </w:rPr>
        <w:t>5</w:t>
      </w:r>
      <w:r w:rsidR="00C902B5" w:rsidRPr="00C902B5">
        <w:rPr>
          <w:b/>
          <w:bCs/>
          <w:i/>
          <w:iCs/>
          <w:color w:val="auto"/>
          <w:sz w:val="22"/>
          <w:szCs w:val="22"/>
        </w:rPr>
        <w:t>,</w:t>
      </w:r>
      <w:r w:rsidR="00BF2C11" w:rsidRPr="00BF2C11">
        <w:rPr>
          <w:b/>
          <w:bCs/>
          <w:i/>
          <w:iCs/>
          <w:color w:val="auto"/>
          <w:sz w:val="22"/>
          <w:szCs w:val="22"/>
        </w:rPr>
        <w:t>4</w:t>
      </w:r>
      <w:r w:rsidR="007F7B73" w:rsidRPr="007F7B73">
        <w:rPr>
          <w:b/>
          <w:bCs/>
          <w:i/>
          <w:iCs/>
          <w:color w:val="auto"/>
          <w:sz w:val="22"/>
          <w:szCs w:val="22"/>
        </w:rPr>
        <w:t>5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процентов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первый купонный период в размере 1</w:t>
      </w:r>
      <w:r w:rsidR="00BF2C11" w:rsidRPr="00BF2C11">
        <w:rPr>
          <w:b/>
          <w:bCs/>
          <w:i/>
          <w:iCs/>
          <w:color w:val="auto"/>
          <w:sz w:val="22"/>
          <w:szCs w:val="22"/>
        </w:rPr>
        <w:t>3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 xml:space="preserve">руб. </w:t>
      </w:r>
      <w:r w:rsidR="007F7B73" w:rsidRPr="007F7B73">
        <w:rPr>
          <w:b/>
          <w:bCs/>
          <w:i/>
          <w:iCs/>
          <w:color w:val="auto"/>
          <w:sz w:val="22"/>
          <w:szCs w:val="22"/>
        </w:rPr>
        <w:t>59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97278" w14:textId="77777777" w:rsidR="007E4784" w:rsidRDefault="007E4784" w:rsidP="0053664B">
      <w:pPr>
        <w:spacing w:after="0" w:line="240" w:lineRule="auto"/>
      </w:pPr>
      <w:r>
        <w:separator/>
      </w:r>
    </w:p>
  </w:endnote>
  <w:endnote w:type="continuationSeparator" w:id="0">
    <w:p w14:paraId="4645FF21" w14:textId="77777777" w:rsidR="007E4784" w:rsidRDefault="007E478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20D68B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150F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450F" w14:textId="77777777" w:rsidR="007E4784" w:rsidRDefault="007E4784" w:rsidP="0053664B">
      <w:pPr>
        <w:spacing w:after="0" w:line="240" w:lineRule="auto"/>
      </w:pPr>
      <w:r>
        <w:separator/>
      </w:r>
    </w:p>
  </w:footnote>
  <w:footnote w:type="continuationSeparator" w:id="0">
    <w:p w14:paraId="2927F293" w14:textId="77777777" w:rsidR="007E4784" w:rsidRDefault="007E478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66C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78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16C9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0F4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4C063D4-D432-420B-AA54-CCA95EFC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88EE-B73C-4D5D-96BC-4D81544C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2021-04-30T12:26:00Z</dcterms:created>
  <dcterms:modified xsi:type="dcterms:W3CDTF">2021-04-30T12:26:00Z</dcterms:modified>
</cp:coreProperties>
</file>