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3DA7387A" w:rsidR="00996E29" w:rsidRPr="007F273F" w:rsidRDefault="007F273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8E90A61" w:rsidR="00996E29" w:rsidRPr="004967FC" w:rsidRDefault="007F273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3244390" w:rsidR="00996E29" w:rsidRPr="001A7ABD" w:rsidRDefault="007F273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68B8D6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F273F" w:rsidRPr="007F273F">
        <w:rPr>
          <w:rFonts w:ascii="Times New Roman" w:hAnsi="Times New Roman"/>
          <w:b/>
          <w:bCs/>
          <w:i/>
          <w:iCs/>
          <w:sz w:val="24"/>
          <w:szCs w:val="24"/>
        </w:rPr>
        <w:t>206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F2C4A" w:rsidRPr="00CF2C4A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F2C4A">
        <w:rPr>
          <w:rFonts w:ascii="Times New Roman" w:hAnsi="Times New Roman"/>
          <w:b/>
          <w:bCs/>
          <w:i/>
          <w:iCs/>
          <w:sz w:val="24"/>
          <w:szCs w:val="24"/>
        </w:rPr>
        <w:t>Семьсот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CC42CA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F273F" w:rsidRPr="007F273F">
        <w:rPr>
          <w:rFonts w:ascii="Times New Roman" w:hAnsi="Times New Roman"/>
          <w:b/>
          <w:bCs/>
          <w:i/>
          <w:iCs/>
          <w:color w:val="000000"/>
        </w:rPr>
        <w:t>206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A264C8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F273F" w:rsidRPr="007F273F">
        <w:rPr>
          <w:b/>
          <w:i/>
          <w:sz w:val="22"/>
          <w:szCs w:val="22"/>
        </w:rPr>
        <w:t>206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7F273F" w:rsidRPr="007F273F">
        <w:rPr>
          <w:b/>
          <w:i/>
          <w:sz w:val="22"/>
          <w:szCs w:val="22"/>
        </w:rPr>
        <w:t>0</w:t>
      </w:r>
      <w:r w:rsidR="007F273F">
        <w:rPr>
          <w:b/>
          <w:i/>
          <w:sz w:val="22"/>
          <w:szCs w:val="22"/>
        </w:rPr>
        <w:t>1</w:t>
      </w:r>
      <w:r w:rsidR="00F7299B">
        <w:rPr>
          <w:b/>
          <w:i/>
          <w:sz w:val="22"/>
          <w:szCs w:val="22"/>
        </w:rPr>
        <w:t>.</w:t>
      </w:r>
      <w:r w:rsidR="007F273F" w:rsidRPr="007F273F">
        <w:rPr>
          <w:b/>
          <w:i/>
          <w:sz w:val="22"/>
          <w:szCs w:val="22"/>
        </w:rPr>
        <w:t>04</w:t>
      </w:r>
      <w:r w:rsidR="007F273F">
        <w:rPr>
          <w:b/>
          <w:i/>
          <w:sz w:val="22"/>
          <w:szCs w:val="22"/>
        </w:rPr>
        <w:t>.202</w:t>
      </w:r>
      <w:r w:rsidR="007F273F" w:rsidRPr="007F273F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91AEAA3" w:rsidR="00610E7E" w:rsidRPr="00FC2AE6" w:rsidRDefault="00CF2C4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7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Семьсот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AA0CEA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05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5208B71" w14:textId="77777777" w:rsidR="007F273F" w:rsidRPr="007F273F" w:rsidRDefault="007F273F" w:rsidP="007F273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):</w:t>
      </w:r>
    </w:p>
    <w:p w14:paraId="6C9241F8" w14:textId="77777777" w:rsidR="007F273F" w:rsidRPr="007F273F" w:rsidRDefault="007F273F" w:rsidP="007F273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F273F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7F273F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7F273F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7F273F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7F273F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41F9B1B8" w14:textId="77777777" w:rsidR="007F273F" w:rsidRPr="007F273F" w:rsidRDefault="007F273F" w:rsidP="007F273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7F273F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7F273F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7F273F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7F273F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7F273F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2323A59B" w14:textId="77777777" w:rsidR="007F273F" w:rsidRPr="007F273F" w:rsidRDefault="007F273F" w:rsidP="007F273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2994E2E8" w14:textId="77777777" w:rsidR="007F273F" w:rsidRPr="007F273F" w:rsidRDefault="007F273F" w:rsidP="007F273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 xml:space="preserve">= 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n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 xml:space="preserve"> * 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R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 xml:space="preserve"> / 2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 xml:space="preserve">, </w:t>
      </w:r>
      <w:r w:rsidRPr="007F273F">
        <w:rPr>
          <w:rFonts w:ascii="Times New Roman" w:eastAsia="Times New Roman" w:hAnsi="Times New Roman"/>
          <w:szCs w:val="20"/>
        </w:rPr>
        <w:t>где:</w:t>
      </w:r>
    </w:p>
    <w:p w14:paraId="4FD1AF94" w14:textId="006F911C" w:rsidR="007F273F" w:rsidRPr="007F273F" w:rsidRDefault="007F273F" w:rsidP="007F27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73F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7F273F">
        <w:rPr>
          <w:rFonts w:ascii="Times New Roman" w:eastAsia="Times New Roman" w:hAnsi="Times New Roman"/>
          <w:szCs w:val="20"/>
        </w:rPr>
        <w:t xml:space="preserve"> –</w:t>
      </w:r>
      <w:r w:rsidRPr="007F273F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7F273F">
        <w:rPr>
          <w:rFonts w:ascii="Times New Roman" w:eastAsia="Times New Roman" w:hAnsi="Times New Roman"/>
          <w:szCs w:val="20"/>
        </w:rPr>
        <w:t>величина</w:t>
      </w:r>
      <w:r w:rsidRPr="007F273F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7F273F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7F273F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7F273F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A499DAD" w14:textId="77777777" w:rsidR="007F273F" w:rsidRPr="007F273F" w:rsidRDefault="007F273F" w:rsidP="007F273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F273F">
        <w:rPr>
          <w:rFonts w:ascii="Times New Roman" w:eastAsia="Times New Roman" w:hAnsi="Times New Roman"/>
          <w:b/>
          <w:i/>
          <w:szCs w:val="20"/>
          <w:lang w:val="en-US"/>
        </w:rPr>
        <w:t>n</w:t>
      </w:r>
      <w:r w:rsidRPr="007F273F">
        <w:rPr>
          <w:rFonts w:ascii="Times New Roman" w:eastAsia="Times New Roman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</w:t>
      </w:r>
      <w:r w:rsidRPr="007F273F">
        <w:rPr>
          <w:rFonts w:ascii="Times New Roman" w:eastAsia="Times New Roman" w:hAnsi="Times New Roman"/>
          <w:i/>
          <w:szCs w:val="20"/>
          <w:lang w:val="en-US"/>
        </w:rPr>
        <w:t>j</w:t>
      </w:r>
      <w:r w:rsidRPr="007F273F">
        <w:rPr>
          <w:rFonts w:ascii="Times New Roman" w:eastAsia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7F273F">
        <w:rPr>
          <w:rFonts w:ascii="Times New Roman" w:eastAsia="Times New Roman" w:hAnsi="Times New Roman"/>
          <w:szCs w:val="20"/>
          <w:lang w:val="en-US"/>
        </w:rPr>
        <w:t>n</w:t>
      </w:r>
      <w:r w:rsidRPr="007F273F">
        <w:rPr>
          <w:rFonts w:ascii="Times New Roman" w:eastAsia="Times New Roman" w:hAnsi="Times New Roman"/>
          <w:szCs w:val="20"/>
        </w:rPr>
        <w:t xml:space="preserve"> принимается равной 1;</w:t>
      </w:r>
    </w:p>
    <w:p w14:paraId="3532D8AE" w14:textId="77777777" w:rsidR="007F273F" w:rsidRPr="007F273F" w:rsidRDefault="007F273F" w:rsidP="007F273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7F273F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7F273F">
        <w:rPr>
          <w:rFonts w:ascii="Times New Roman" w:eastAsia="Times New Roman" w:hAnsi="Times New Roman"/>
          <w:b/>
          <w:i/>
          <w:szCs w:val="20"/>
        </w:rPr>
        <w:t>j</w:t>
      </w:r>
      <w:r w:rsidRPr="007F273F">
        <w:rPr>
          <w:rFonts w:ascii="Times New Roman" w:eastAsia="Times New Roman" w:hAnsi="Times New Roman"/>
          <w:b/>
          <w:szCs w:val="20"/>
        </w:rPr>
        <w:t xml:space="preserve"> </w:t>
      </w:r>
      <w:r w:rsidRPr="007F273F">
        <w:rPr>
          <w:rFonts w:ascii="Times New Roman" w:eastAsia="Times New Roman" w:hAnsi="Times New Roman"/>
          <w:szCs w:val="20"/>
        </w:rPr>
        <w:t xml:space="preserve">= 1, 2, 3, 4, 5, 6); </w:t>
      </w:r>
    </w:p>
    <w:p w14:paraId="7AAF5516" w14:textId="77777777" w:rsidR="007F273F" w:rsidRPr="007F273F" w:rsidRDefault="007F273F" w:rsidP="007F273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7F273F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7F273F">
        <w:rPr>
          <w:rFonts w:ascii="Times New Roman" w:eastAsia="Times New Roman" w:hAnsi="Times New Roman"/>
          <w:szCs w:val="20"/>
        </w:rPr>
        <w:t xml:space="preserve"> – порядковый номер Референсного актива (</w:t>
      </w:r>
      <w:r w:rsidRPr="007F273F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7F273F">
        <w:rPr>
          <w:rFonts w:ascii="Times New Roman" w:eastAsia="Times New Roman" w:hAnsi="Times New Roman"/>
          <w:szCs w:val="20"/>
        </w:rPr>
        <w:t xml:space="preserve">  = 1, 2, 3, 4);</w:t>
      </w:r>
    </w:p>
    <w:p w14:paraId="336030F1" w14:textId="77777777" w:rsidR="007F273F" w:rsidRPr="007F273F" w:rsidRDefault="007F273F" w:rsidP="007F273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  <w:u w:val="single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7F273F">
        <w:rPr>
          <w:rFonts w:ascii="Times New Roman" w:eastAsia="Times New Roman" w:hAnsi="Times New Roman"/>
          <w:szCs w:val="20"/>
        </w:rPr>
        <w:t>– цена закрытия Референсного актива (</w:t>
      </w:r>
      <w:r w:rsidRPr="007F273F">
        <w:rPr>
          <w:rFonts w:ascii="Times New Roman" w:eastAsia="Times New Roman" w:hAnsi="Times New Roman"/>
          <w:i/>
          <w:szCs w:val="20"/>
        </w:rPr>
        <w:t xml:space="preserve">i) </w:t>
      </w:r>
      <w:r w:rsidRPr="007F273F">
        <w:rPr>
          <w:rFonts w:ascii="Times New Roman" w:eastAsia="Times New Roman" w:hAnsi="Times New Roman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0C426273" w14:textId="77777777" w:rsidR="007F273F" w:rsidRPr="007F273F" w:rsidRDefault="007F273F" w:rsidP="007F273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7F273F">
        <w:rPr>
          <w:rFonts w:ascii="Times New Roman" w:eastAsia="Times New Roman" w:hAnsi="Times New Roman"/>
          <w:szCs w:val="20"/>
        </w:rPr>
        <w:t xml:space="preserve"> – цена закрытия Референсного актива (</w:t>
      </w:r>
      <w:r w:rsidRPr="007F273F">
        <w:rPr>
          <w:rFonts w:ascii="Times New Roman" w:eastAsia="Times New Roman" w:hAnsi="Times New Roman"/>
          <w:i/>
          <w:szCs w:val="20"/>
        </w:rPr>
        <w:t xml:space="preserve">i) </w:t>
      </w:r>
      <w:r w:rsidRPr="007F273F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7F273F">
        <w:rPr>
          <w:rFonts w:ascii="Times New Roman" w:eastAsia="Times New Roman" w:hAnsi="Times New Roman"/>
          <w:i/>
          <w:szCs w:val="20"/>
        </w:rPr>
        <w:t>(</w:t>
      </w:r>
      <w:r w:rsidRPr="007F273F">
        <w:rPr>
          <w:rFonts w:ascii="Times New Roman" w:eastAsia="Times New Roman" w:hAnsi="Times New Roman"/>
          <w:i/>
          <w:szCs w:val="20"/>
          <w:lang w:val="en-US"/>
        </w:rPr>
        <w:t>j</w:t>
      </w:r>
      <w:r w:rsidRPr="007F273F">
        <w:rPr>
          <w:rFonts w:ascii="Times New Roman" w:eastAsia="Times New Roman" w:hAnsi="Times New Roman"/>
          <w:i/>
          <w:szCs w:val="20"/>
        </w:rPr>
        <w:t>)</w:t>
      </w:r>
      <w:r w:rsidRPr="007F273F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69C78189" w14:textId="77777777" w:rsidR="007F273F" w:rsidRPr="007F273F" w:rsidRDefault="007F273F" w:rsidP="007F273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Барьер(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7F273F">
        <w:rPr>
          <w:rFonts w:ascii="Times New Roman" w:eastAsia="Times New Roman" w:hAnsi="Times New Roman"/>
          <w:szCs w:val="20"/>
        </w:rPr>
        <w:t xml:space="preserve"> – </w:t>
      </w:r>
      <w:r w:rsidRPr="007F273F">
        <w:rPr>
          <w:rFonts w:ascii="Times New Roman" w:eastAsia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7F273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7F273F">
        <w:rPr>
          <w:rFonts w:ascii="Times New Roman" w:eastAsia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497" w:type="dxa"/>
        <w:tblLook w:val="04A0" w:firstRow="1" w:lastRow="0" w:firstColumn="1" w:lastColumn="0" w:noHBand="0" w:noVBand="1"/>
      </w:tblPr>
      <w:tblGrid>
        <w:gridCol w:w="5125"/>
        <w:gridCol w:w="2381"/>
      </w:tblGrid>
      <w:tr w:rsidR="007F273F" w:rsidRPr="007F273F" w14:paraId="232C6CFD" w14:textId="77777777" w:rsidTr="006B29B4">
        <w:trPr>
          <w:trHeight w:val="716"/>
        </w:trPr>
        <w:tc>
          <w:tcPr>
            <w:tcW w:w="5125" w:type="dxa"/>
          </w:tcPr>
          <w:p w14:paraId="25C1419C" w14:textId="77777777" w:rsidR="007F273F" w:rsidRPr="007F273F" w:rsidRDefault="007F273F" w:rsidP="007F273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F273F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7F273F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7F273F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7F273F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381" w:type="dxa"/>
          </w:tcPr>
          <w:p w14:paraId="01FEB32D" w14:textId="77777777" w:rsidR="007F273F" w:rsidRPr="007F273F" w:rsidRDefault="007F273F" w:rsidP="007F273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F273F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7F273F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7F273F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7F273F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7F273F" w:rsidRPr="007F273F" w14:paraId="38B267FB" w14:textId="77777777" w:rsidTr="006B29B4">
        <w:trPr>
          <w:trHeight w:val="459"/>
        </w:trPr>
        <w:tc>
          <w:tcPr>
            <w:tcW w:w="5125" w:type="dxa"/>
          </w:tcPr>
          <w:p w14:paraId="7A5DDCC2" w14:textId="77777777" w:rsidR="007F273F" w:rsidRPr="007F273F" w:rsidRDefault="007F273F" w:rsidP="007F273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F273F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  <w:r w:rsidRPr="007F273F">
              <w:rPr>
                <w:rFonts w:ascii="Times New Roman" w:hAnsi="Times New Roman"/>
                <w:bCs/>
                <w:iCs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7DEAEDD1" w14:textId="77777777" w:rsidR="007F273F" w:rsidRPr="007F273F" w:rsidRDefault="007F273F" w:rsidP="007F273F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7F273F">
              <w:rPr>
                <w:rFonts w:ascii="Times New Roman" w:hAnsi="Times New Roman"/>
                <w:bCs/>
                <w:iCs/>
                <w:szCs w:val="20"/>
              </w:rPr>
              <w:t>90%</w:t>
            </w:r>
          </w:p>
        </w:tc>
      </w:tr>
    </w:tbl>
    <w:p w14:paraId="2F4BE82B" w14:textId="77777777" w:rsidR="007F273F" w:rsidRPr="007F273F" w:rsidRDefault="007F273F" w:rsidP="007F273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7F273F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7F273F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0E168740" w14:textId="77777777" w:rsidR="007F273F" w:rsidRPr="007F273F" w:rsidRDefault="007F273F" w:rsidP="007F273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0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7F273F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7F273F">
        <w:rPr>
          <w:rFonts w:ascii="Times New Roman" w:eastAsia="Times New Roman" w:hAnsi="Times New Roman"/>
          <w:szCs w:val="20"/>
        </w:rPr>
        <w:t xml:space="preserve">: </w:t>
      </w:r>
    </w:p>
    <w:p w14:paraId="114F5C9F" w14:textId="77777777" w:rsidR="007F273F" w:rsidRPr="007F273F" w:rsidRDefault="007F273F" w:rsidP="007F273F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7F273F">
        <w:rPr>
          <w:rFonts w:ascii="Times New Roman" w:eastAsia="Times New Roman" w:hAnsi="Times New Roman"/>
          <w:szCs w:val="20"/>
        </w:rPr>
        <w:t>для всех периодов дополнительного дохода Датой определения дополнительного дохода является 2 (второй) торговый день, предшествующий Дате выплаты дополнительного дохода</w:t>
      </w:r>
      <w:r w:rsidRPr="007F273F">
        <w:rPr>
          <w:rFonts w:ascii="Times New Roman" w:eastAsia="Times New Roman" w:hAnsi="Times New Roman"/>
          <w:bCs/>
          <w:iCs/>
          <w:szCs w:val="20"/>
        </w:rPr>
        <w:t xml:space="preserve">. </w:t>
      </w:r>
    </w:p>
    <w:p w14:paraId="2CA10658" w14:textId="77777777" w:rsidR="007F273F" w:rsidRPr="007F273F" w:rsidRDefault="007F273F" w:rsidP="007F273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7F273F">
        <w:rPr>
          <w:rFonts w:ascii="Times New Roman" w:eastAsia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87D3BDB" w14:textId="77777777" w:rsidR="007F273F" w:rsidRPr="007F273F" w:rsidRDefault="007F273F" w:rsidP="007F273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376E0AE3" w14:textId="77777777" w:rsidR="007F273F" w:rsidRPr="007F273F" w:rsidRDefault="007F273F" w:rsidP="007F273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13A48780" w14:textId="77777777" w:rsidR="007F273F" w:rsidRPr="007F273F" w:rsidRDefault="007F273F" w:rsidP="007F273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29EEF598" w14:textId="77777777" w:rsidR="007F273F" w:rsidRPr="007F273F" w:rsidRDefault="007F273F" w:rsidP="007F273F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7F273F">
        <w:rPr>
          <w:rFonts w:ascii="Times New Roman" w:eastAsia="Times New Roman" w:hAnsi="Times New Roman"/>
          <w:b/>
          <w:i/>
          <w:color w:val="000000"/>
          <w:szCs w:val="20"/>
        </w:rPr>
        <w:t>Референсные активы</w:t>
      </w:r>
      <w:r w:rsidRPr="007F273F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10065" w:type="dxa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715"/>
        <w:gridCol w:w="461"/>
        <w:gridCol w:w="1436"/>
        <w:gridCol w:w="465"/>
        <w:gridCol w:w="5705"/>
      </w:tblGrid>
      <w:tr w:rsidR="007F273F" w:rsidRPr="007F273F" w14:paraId="44B57212" w14:textId="77777777" w:rsidTr="006B29B4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0959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</w:pPr>
            <w:r w:rsidRPr="007F273F"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8C096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133C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1C3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0FEB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79E6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7F273F" w:rsidRPr="007F273F" w14:paraId="4FAFE321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F866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556B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C728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928D6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9BB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3A78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7F273F" w:rsidRPr="007F273F" w14:paraId="267F410D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93C16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DC53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4F2B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8F77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B7292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6FDB2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7F273F" w:rsidRPr="007F273F" w14:paraId="7BF72D08" w14:textId="77777777" w:rsidTr="006B29B4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EF49B7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  <w:r w:rsidRPr="007F273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BE1F3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Airbnb, Inc.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7F37B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54851C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US0090661010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34B54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DAC49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F273F" w:rsidRPr="007F273F" w14:paraId="233D06F2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74C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8E81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B96DC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A76917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751C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9F307" w14:textId="77777777" w:rsidR="007F273F" w:rsidRPr="007F273F" w:rsidRDefault="000A4B94" w:rsidP="007F273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7F273F" w:rsidRPr="007F273F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https://www.nasdaq.com/market-activity/stocks/abnb/historical</w:t>
              </w:r>
            </w:hyperlink>
          </w:p>
        </w:tc>
      </w:tr>
      <w:tr w:rsidR="007F273F" w:rsidRPr="007F273F" w14:paraId="1AD8EF19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403C9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256E8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CF67F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9357C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5BD9A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77178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7F273F" w:rsidRPr="007F273F" w14:paraId="0AC079B9" w14:textId="77777777" w:rsidTr="006B29B4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595825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  <w:r w:rsidRPr="007F273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7308C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Booking Holdings Inc.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E5209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0E01C2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US09857L1089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624D3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F9914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F273F" w:rsidRPr="007F273F" w14:paraId="70B13DB3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5F7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C0C2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A098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D75F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23A8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B10D3" w14:textId="77777777" w:rsidR="007F273F" w:rsidRPr="007F273F" w:rsidRDefault="000A4B94" w:rsidP="007F273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9" w:history="1">
              <w:r w:rsidR="007F273F" w:rsidRPr="007F273F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https://www.nasdaq.com/market-activity/stocks/bkng/historical</w:t>
              </w:r>
            </w:hyperlink>
          </w:p>
        </w:tc>
      </w:tr>
      <w:tr w:rsidR="007F273F" w:rsidRPr="007F273F" w14:paraId="0208BCE5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8EE1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1ED8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2F8D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20A6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6F72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3665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7F273F" w:rsidRPr="007F273F" w14:paraId="15FDCEB4" w14:textId="77777777" w:rsidTr="006B29B4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48A7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  <w:r w:rsidRPr="007F273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6EFA2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Netflix, Inc.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3F6D6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1598A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US64110L1061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4EF4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B6E93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F273F" w:rsidRPr="007F273F" w14:paraId="0B7A6027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85F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22B05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928B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B124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7F624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ABB8F" w14:textId="77777777" w:rsidR="007F273F" w:rsidRPr="007F273F" w:rsidRDefault="000A4B94" w:rsidP="007F273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10" w:history="1">
              <w:r w:rsidR="007F273F" w:rsidRPr="007F273F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https://www.nasdaq.com/market-activity/stocks/nflx/historical</w:t>
              </w:r>
            </w:hyperlink>
          </w:p>
        </w:tc>
      </w:tr>
      <w:tr w:rsidR="007F273F" w:rsidRPr="007F273F" w14:paraId="15C09FB0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76DB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9E6F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F775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3038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A21BC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D1A24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7F273F" w:rsidRPr="007F273F" w14:paraId="41C1D95F" w14:textId="77777777" w:rsidTr="006B29B4">
        <w:trPr>
          <w:trHeight w:val="2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AD6CA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4</w:t>
            </w:r>
            <w:r w:rsidRPr="007F273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ED189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Uber Technologies, Inc.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9398E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1CCB0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US90353T1007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63615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59BAB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F273F" w:rsidRPr="007F273F" w14:paraId="24FBBDE5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DAB7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F8A14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0F4D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C9759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6E543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5F599" w14:textId="77777777" w:rsidR="007F273F" w:rsidRPr="007F273F" w:rsidRDefault="000A4B94" w:rsidP="007F273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11" w:history="1">
              <w:r w:rsidR="007F273F" w:rsidRPr="007F273F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https://www.nasdaq.com/market-activity/stocks/uber/historical</w:t>
              </w:r>
            </w:hyperlink>
          </w:p>
        </w:tc>
      </w:tr>
      <w:tr w:rsidR="007F273F" w:rsidRPr="007F273F" w14:paraId="62E0EAB8" w14:textId="77777777" w:rsidTr="006B29B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0CB1D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F7F7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1B62B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6657A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C8451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D068C" w14:textId="77777777" w:rsidR="007F273F" w:rsidRPr="007F273F" w:rsidRDefault="007F273F" w:rsidP="007F27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7F273F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</w:tbl>
    <w:p w14:paraId="69998815" w14:textId="77777777" w:rsidR="007F273F" w:rsidRPr="007F273F" w:rsidRDefault="007F273F" w:rsidP="007F273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42067568" w14:textId="77777777" w:rsidR="007F273F" w:rsidRPr="007F273F" w:rsidRDefault="007F273F" w:rsidP="007F273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F273F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D2E037" w14:textId="77777777" w:rsidR="007F273F" w:rsidRPr="007F273F" w:rsidRDefault="007F273F" w:rsidP="007F273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73F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7F273F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7F273F">
        <w:rPr>
          <w:rFonts w:ascii="Times New Roman" w:eastAsia="Times New Roman" w:hAnsi="Times New Roman"/>
          <w:i/>
          <w:szCs w:val="20"/>
        </w:rPr>
        <w:t xml:space="preserve"> </w:t>
      </w:r>
      <w:r w:rsidRPr="007F273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7F273F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0F051C2" w14:textId="77777777" w:rsidR="007F273F" w:rsidRPr="007F273F" w:rsidRDefault="007F273F" w:rsidP="007F273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73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7F273F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E7D46A8" w14:textId="77777777" w:rsidR="007F273F" w:rsidRPr="007F273F" w:rsidRDefault="007F273F" w:rsidP="007F273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7F273F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7F273F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17227BC6" w:rsidR="0013727A" w:rsidRPr="007F273F" w:rsidRDefault="007F273F" w:rsidP="007F273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7F273F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6DC26AA0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7F273F">
        <w:rPr>
          <w:rFonts w:ascii="Times New Roman" w:hAnsi="Times New Roman"/>
          <w:b/>
          <w:bCs/>
          <w:i/>
          <w:iCs/>
        </w:rPr>
        <w:t xml:space="preserve">1 </w:t>
      </w:r>
      <w:r w:rsidRPr="00DC14A6">
        <w:rPr>
          <w:rFonts w:ascii="Times New Roman" w:hAnsi="Times New Roman"/>
          <w:b/>
          <w:bCs/>
          <w:i/>
          <w:iCs/>
        </w:rPr>
        <w:t>0</w:t>
      </w:r>
      <w:r w:rsidR="007F273F" w:rsidRPr="007F273F">
        <w:rPr>
          <w:rFonts w:ascii="Times New Roman" w:hAnsi="Times New Roman"/>
          <w:b/>
          <w:bCs/>
          <w:i/>
          <w:iCs/>
        </w:rPr>
        <w:t>9</w:t>
      </w:r>
      <w:r w:rsidRPr="00DC14A6">
        <w:rPr>
          <w:rFonts w:ascii="Times New Roman" w:hAnsi="Times New Roman"/>
          <w:b/>
          <w:bCs/>
          <w:i/>
          <w:iCs/>
        </w:rPr>
        <w:t xml:space="preserve">2-ой (Одна тысяча </w:t>
      </w:r>
      <w:r w:rsidR="007F273F">
        <w:rPr>
          <w:rFonts w:ascii="Times New Roman" w:hAnsi="Times New Roman"/>
          <w:b/>
          <w:bCs/>
          <w:i/>
          <w:iCs/>
        </w:rPr>
        <w:t>девяносто</w:t>
      </w:r>
      <w:r w:rsidRPr="00DC14A6">
        <w:rPr>
          <w:rFonts w:ascii="Times New Roman" w:hAnsi="Times New Roman"/>
          <w:b/>
          <w:bCs/>
          <w:i/>
          <w:iCs/>
        </w:rPr>
        <w:t xml:space="preserve">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FEAC6" w14:textId="77777777" w:rsidR="000A4B94" w:rsidRDefault="000A4B94" w:rsidP="0053664B">
      <w:pPr>
        <w:spacing w:after="0" w:line="240" w:lineRule="auto"/>
      </w:pPr>
      <w:r>
        <w:separator/>
      </w:r>
    </w:p>
  </w:endnote>
  <w:endnote w:type="continuationSeparator" w:id="0">
    <w:p w14:paraId="2780654A" w14:textId="77777777" w:rsidR="000A4B94" w:rsidRDefault="000A4B9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49241A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C5D5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85400" w14:textId="77777777" w:rsidR="000A4B94" w:rsidRDefault="000A4B94" w:rsidP="0053664B">
      <w:pPr>
        <w:spacing w:after="0" w:line="240" w:lineRule="auto"/>
      </w:pPr>
      <w:r>
        <w:separator/>
      </w:r>
    </w:p>
  </w:footnote>
  <w:footnote w:type="continuationSeparator" w:id="0">
    <w:p w14:paraId="32CF5023" w14:textId="77777777" w:rsidR="000A4B94" w:rsidRDefault="000A4B9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4B94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73F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C4A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55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3716CF8-A5B2-4036-A3D1-4C5A45C9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abnb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uber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nflx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bkng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E164-9820-48AB-9CBE-4DB28D1C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5158</Words>
  <Characters>29404</Characters>
  <Application>Microsoft Office Word</Application>
  <DocSecurity>0</DocSecurity>
  <Lines>245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2021-05-04T08:14:00Z</dcterms:created>
  <dcterms:modified xsi:type="dcterms:W3CDTF">2021-05-04T08:14:00Z</dcterms:modified>
</cp:coreProperties>
</file>