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42D69040" w:rsidR="00996E29" w:rsidRPr="00EF6CFB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90F492D" w:rsidR="00996E29" w:rsidRPr="004967FC" w:rsidRDefault="00EF6CF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5403C46" w:rsidR="00996E29" w:rsidRPr="001A7ABD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D6554A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EF6CFB" w:rsidRPr="00EF6CFB">
        <w:rPr>
          <w:rFonts w:ascii="Times New Roman" w:hAnsi="Times New Roman"/>
          <w:b/>
          <w:bCs/>
          <w:i/>
          <w:iCs/>
          <w:sz w:val="24"/>
          <w:szCs w:val="24"/>
        </w:rPr>
        <w:t>211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B3C68" w:rsidRPr="00AB3C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B3C68" w:rsidRPr="00AB3C68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0073DC7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F6CFB" w:rsidRPr="00EF6CFB">
        <w:rPr>
          <w:rFonts w:ascii="Times New Roman" w:hAnsi="Times New Roman"/>
          <w:b/>
          <w:bCs/>
          <w:i/>
          <w:iCs/>
          <w:color w:val="000000"/>
        </w:rPr>
        <w:t>211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F75173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EF6CFB" w:rsidRPr="00EF6CFB">
        <w:rPr>
          <w:b/>
          <w:i/>
          <w:sz w:val="22"/>
          <w:szCs w:val="22"/>
        </w:rPr>
        <w:t>211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F6CFB">
        <w:rPr>
          <w:b/>
          <w:i/>
          <w:sz w:val="22"/>
          <w:szCs w:val="22"/>
        </w:rPr>
        <w:t>1</w:t>
      </w:r>
      <w:r w:rsidR="00EF6CFB" w:rsidRPr="00EF6CFB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EF6CFB" w:rsidRPr="00EF6CFB">
        <w:rPr>
          <w:b/>
          <w:i/>
          <w:sz w:val="22"/>
          <w:szCs w:val="22"/>
        </w:rPr>
        <w:t>04</w:t>
      </w:r>
      <w:r w:rsidR="00EF6CFB">
        <w:rPr>
          <w:b/>
          <w:i/>
          <w:sz w:val="22"/>
          <w:szCs w:val="22"/>
        </w:rPr>
        <w:t>.202</w:t>
      </w:r>
      <w:r w:rsidR="00EF6CFB" w:rsidRPr="00EF6CFB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AB022E" w:rsidR="00610E7E" w:rsidRPr="00FC2AE6" w:rsidRDefault="00AB3C6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C8A5D9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73285" w:rsidRPr="00873285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739C1FD" w14:textId="77777777" w:rsidR="00EF6CFB" w:rsidRPr="00EF6CFB" w:rsidRDefault="00EF6CFB" w:rsidP="00EF6C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EF6CFB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2DD3F80E" w14:textId="77777777" w:rsidR="00EF6CFB" w:rsidRPr="00EF6CFB" w:rsidRDefault="00EF6CFB" w:rsidP="00EF6CF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F6CFB">
        <w:rPr>
          <w:rFonts w:ascii="Times New Roman" w:eastAsia="Times New Roman" w:hAnsi="Times New Roman"/>
          <w:bCs/>
          <w:i/>
          <w:iCs/>
          <w:szCs w:val="20"/>
        </w:rPr>
        <w:t xml:space="preserve">Для периодов дополнительного дохода с порядковым номером j = 1, 2, 3, 4, 5, 6  </w:t>
      </w:r>
    </w:p>
    <w:p w14:paraId="37DFEF34" w14:textId="77777777" w:rsidR="00EF6CFB" w:rsidRPr="00EF6CFB" w:rsidRDefault="00EF6CFB" w:rsidP="00EF6CF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F6CF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24E8679F" w14:textId="77777777" w:rsidR="00EF6CFB" w:rsidRPr="00EF6CFB" w:rsidRDefault="00EF6CFB" w:rsidP="00EF6CFB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F6CFB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02DC0E6A" w14:textId="77777777" w:rsidR="00EF6CFB" w:rsidRPr="00EF6CFB" w:rsidRDefault="00EF6CFB" w:rsidP="00EF6CFB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EF6CF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EF6CFB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4F21AF34" w14:textId="4E140179" w:rsidR="00EF6CFB" w:rsidRPr="00EF6CFB" w:rsidRDefault="00EF6CFB" w:rsidP="00EF6CF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F6CFB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EF6CFB">
        <w:rPr>
          <w:rFonts w:ascii="Times New Roman" w:eastAsia="Times New Roman" w:hAnsi="Times New Roman"/>
          <w:szCs w:val="20"/>
        </w:rPr>
        <w:t xml:space="preserve"> –</w:t>
      </w:r>
      <w:r w:rsidRPr="00EF6CFB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EF6CFB">
        <w:rPr>
          <w:rFonts w:ascii="Times New Roman" w:eastAsia="Times New Roman" w:hAnsi="Times New Roman"/>
          <w:szCs w:val="20"/>
        </w:rPr>
        <w:t>величина</w:t>
      </w:r>
      <w:r w:rsidRPr="00EF6CFB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EF6CFB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A4B4EA9" w14:textId="77777777" w:rsidR="00EF6CFB" w:rsidRPr="00EF6CFB" w:rsidRDefault="00EF6CFB" w:rsidP="00EF6CF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EF6CFB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EF6CFB">
        <w:rPr>
          <w:rFonts w:ascii="Times New Roman" w:eastAsia="Times New Roman" w:hAnsi="Times New Roman"/>
          <w:b/>
          <w:i/>
          <w:szCs w:val="20"/>
        </w:rPr>
        <w:t>j</w:t>
      </w:r>
      <w:r w:rsidRPr="00EF6CFB">
        <w:rPr>
          <w:rFonts w:ascii="Times New Roman" w:eastAsia="Times New Roman" w:hAnsi="Times New Roman"/>
          <w:b/>
          <w:szCs w:val="20"/>
        </w:rPr>
        <w:t xml:space="preserve"> </w:t>
      </w:r>
      <w:r w:rsidRPr="00EF6CFB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1615820A" w14:textId="77777777" w:rsidR="00EF6CFB" w:rsidRPr="00EF6CFB" w:rsidRDefault="00EF6CFB" w:rsidP="00EF6CF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EF6CFB">
        <w:rPr>
          <w:rFonts w:ascii="Times New Roman" w:eastAsia="Times New Roman" w:hAnsi="Times New Roman"/>
          <w:b/>
          <w:szCs w:val="20"/>
          <w:lang w:val="en-US"/>
        </w:rPr>
        <w:t>S</w:t>
      </w:r>
      <w:r w:rsidRPr="00EF6CFB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EF6CFB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EF6CFB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522A688A" w14:textId="77777777" w:rsidR="00EF6CFB" w:rsidRPr="00EF6CFB" w:rsidRDefault="00EF6CFB" w:rsidP="00EF6CF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EF6CFB">
        <w:rPr>
          <w:rFonts w:ascii="Times New Roman" w:eastAsia="Times New Roman" w:hAnsi="Times New Roman"/>
          <w:b/>
          <w:szCs w:val="20"/>
          <w:lang w:val="en-US"/>
        </w:rPr>
        <w:t>S</w:t>
      </w:r>
      <w:r w:rsidRPr="00EF6CFB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EF6CFB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EF6CFB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EF6CFB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EF6CFB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EF6CFB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EF6CFB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EF6CFB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EF6CFB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EF6CFB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FF944BC" w14:textId="77777777" w:rsidR="00EF6CFB" w:rsidRPr="00EF6CFB" w:rsidRDefault="00EF6CFB" w:rsidP="00EF6CFB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EF6CFB">
        <w:rPr>
          <w:rFonts w:ascii="Times New Roman" w:eastAsia="Times New Roman" w:hAnsi="Times New Roman"/>
          <w:b/>
          <w:i/>
          <w:color w:val="000000"/>
          <w:szCs w:val="24"/>
          <w:lang w:val="en-US"/>
        </w:rPr>
        <w:t>FX</w:t>
      </w:r>
      <w:r w:rsidRPr="00EF6CFB">
        <w:rPr>
          <w:rFonts w:ascii="Times New Roman" w:eastAsia="Times New Roman" w:hAnsi="Times New Roman"/>
          <w:color w:val="000000"/>
          <w:szCs w:val="24"/>
        </w:rPr>
        <w:t xml:space="preserve"> – валютный множитель. Определяется как </w:t>
      </w:r>
      <w:r w:rsidRPr="00EF6CFB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EF6CFB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EF6CFB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EF6CFB">
        <w:rPr>
          <w:rFonts w:ascii="Times New Roman" w:eastAsia="Times New Roman" w:hAnsi="Times New Roman"/>
          <w:bCs/>
          <w:i/>
          <w:iCs/>
          <w:szCs w:val="24"/>
        </w:rPr>
        <w:t>)/</w:t>
      </w:r>
      <w:r w:rsidRPr="00EF6CFB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EF6CFB">
        <w:rPr>
          <w:rFonts w:ascii="Times New Roman" w:eastAsia="Times New Roman" w:hAnsi="Times New Roman"/>
          <w:bCs/>
          <w:i/>
          <w:iCs/>
          <w:szCs w:val="24"/>
        </w:rPr>
        <w:t xml:space="preserve">(0), </w:t>
      </w:r>
      <w:r w:rsidRPr="00EF6CFB">
        <w:rPr>
          <w:rFonts w:ascii="Times New Roman" w:eastAsia="Times New Roman" w:hAnsi="Times New Roman"/>
          <w:bCs/>
          <w:iCs/>
          <w:szCs w:val="24"/>
        </w:rPr>
        <w:t>где:</w:t>
      </w:r>
    </w:p>
    <w:p w14:paraId="58CEA887" w14:textId="77777777" w:rsidR="00EF6CFB" w:rsidRPr="00EF6CFB" w:rsidRDefault="00EF6CFB" w:rsidP="00EF6CFB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bCs/>
          <w:i/>
          <w:iCs/>
          <w:szCs w:val="24"/>
        </w:rPr>
      </w:pPr>
      <w:r w:rsidRPr="00EF6CFB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EF6CFB">
        <w:rPr>
          <w:rFonts w:ascii="Times New Roman" w:eastAsia="Times New Roman" w:hAnsi="Times New Roman"/>
          <w:bCs/>
          <w:i/>
          <w:iCs/>
          <w:szCs w:val="24"/>
        </w:rPr>
        <w:t>(</w:t>
      </w:r>
      <w:r w:rsidRPr="00EF6CFB">
        <w:rPr>
          <w:rFonts w:ascii="Times New Roman" w:eastAsia="Times New Roman" w:hAnsi="Times New Roman"/>
          <w:bCs/>
          <w:i/>
          <w:iCs/>
          <w:szCs w:val="24"/>
          <w:lang w:val="en-US"/>
        </w:rPr>
        <w:t>j</w:t>
      </w:r>
      <w:r w:rsidRPr="00EF6CFB">
        <w:rPr>
          <w:rFonts w:ascii="Times New Roman" w:eastAsia="Times New Roman" w:hAnsi="Times New Roman"/>
          <w:bCs/>
          <w:i/>
          <w:iCs/>
          <w:szCs w:val="24"/>
        </w:rPr>
        <w:t xml:space="preserve">) – </w:t>
      </w:r>
      <w:r w:rsidRPr="00EF6CFB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определения дополнительного дохода (</w:t>
      </w:r>
      <w:r w:rsidRPr="00EF6CFB">
        <w:rPr>
          <w:rFonts w:ascii="Times New Roman" w:eastAsia="Times New Roman" w:hAnsi="Times New Roman"/>
          <w:i/>
          <w:szCs w:val="24"/>
          <w:lang w:val="en-US"/>
        </w:rPr>
        <w:t>j</w:t>
      </w:r>
      <w:r w:rsidRPr="00EF6CFB">
        <w:rPr>
          <w:rFonts w:ascii="Times New Roman" w:eastAsia="Times New Roman" w:hAnsi="Times New Roman"/>
          <w:i/>
          <w:szCs w:val="24"/>
        </w:rPr>
        <w:t>)</w:t>
      </w:r>
      <w:r w:rsidRPr="00EF6CFB">
        <w:rPr>
          <w:rFonts w:ascii="Times New Roman" w:eastAsia="Times New Roman" w:hAnsi="Times New Roman"/>
          <w:szCs w:val="24"/>
        </w:rPr>
        <w:t>;</w:t>
      </w:r>
    </w:p>
    <w:p w14:paraId="0B2420C8" w14:textId="77777777" w:rsidR="00EF6CFB" w:rsidRPr="00EF6CFB" w:rsidRDefault="00EF6CFB" w:rsidP="00EF6CFB">
      <w:pPr>
        <w:keepNext/>
        <w:autoSpaceDE w:val="0"/>
        <w:autoSpaceDN w:val="0"/>
        <w:spacing w:before="120" w:after="120" w:line="240" w:lineRule="auto"/>
        <w:ind w:left="708" w:right="142"/>
        <w:jc w:val="both"/>
        <w:rPr>
          <w:rFonts w:ascii="Times New Roman" w:eastAsia="Times New Roman" w:hAnsi="Times New Roman"/>
          <w:color w:val="000000"/>
          <w:szCs w:val="24"/>
        </w:rPr>
      </w:pPr>
      <w:r w:rsidRPr="00EF6CFB">
        <w:rPr>
          <w:rFonts w:ascii="Times New Roman" w:eastAsia="Times New Roman" w:hAnsi="Times New Roman"/>
          <w:bCs/>
          <w:i/>
          <w:iCs/>
          <w:szCs w:val="24"/>
          <w:lang w:val="en-US"/>
        </w:rPr>
        <w:t>USDRUB</w:t>
      </w:r>
      <w:r w:rsidRPr="00EF6CFB">
        <w:rPr>
          <w:rFonts w:ascii="Times New Roman" w:eastAsia="Times New Roman" w:hAnsi="Times New Roman"/>
          <w:bCs/>
          <w:i/>
          <w:iCs/>
          <w:szCs w:val="24"/>
        </w:rPr>
        <w:t xml:space="preserve">(0) – </w:t>
      </w:r>
      <w:r w:rsidRPr="00EF6CFB">
        <w:rPr>
          <w:rFonts w:ascii="Times New Roman" w:eastAsia="Times New Roman" w:hAnsi="Times New Roman"/>
          <w:szCs w:val="24"/>
        </w:rPr>
        <w:t>установленный и опубликованный Банком России курс доллара США к рублю, действующий по состоянию на Дату начала размещения Биржевых облигаций;</w:t>
      </w:r>
    </w:p>
    <w:p w14:paraId="040A550D" w14:textId="77777777" w:rsidR="00EF6CFB" w:rsidRPr="00EF6CFB" w:rsidRDefault="00EF6CFB" w:rsidP="00EF6CFB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EF6CFB">
        <w:rPr>
          <w:rFonts w:ascii="Times New Roman" w:eastAsia="Times New Roman" w:hAnsi="Times New Roman"/>
          <w:szCs w:val="20"/>
        </w:rPr>
        <w:t xml:space="preserve"> </w:t>
      </w:r>
      <w:r w:rsidRPr="00EF6CFB">
        <w:rPr>
          <w:rFonts w:ascii="Times New Roman" w:eastAsia="Times New Roman" w:hAnsi="Times New Roman"/>
          <w:sz w:val="18"/>
          <w:szCs w:val="20"/>
        </w:rPr>
        <w:t xml:space="preserve">– </w:t>
      </w:r>
      <w:r w:rsidRPr="00EF6CFB">
        <w:rPr>
          <w:rFonts w:ascii="Times New Roman" w:eastAsia="Times New Roman" w:hAnsi="Times New Roman"/>
          <w:szCs w:val="24"/>
        </w:rPr>
        <w:t>каждый день, в который осуществляются торги с Референсным активом на соответствующей Бирже Референсного актива</w:t>
      </w:r>
      <w:r w:rsidRPr="00EF6CFB">
        <w:rPr>
          <w:rFonts w:ascii="Times New Roman" w:eastAsia="Times New Roman" w:hAnsi="Times New Roman"/>
          <w:sz w:val="18"/>
          <w:szCs w:val="20"/>
        </w:rPr>
        <w:t>.</w:t>
      </w:r>
    </w:p>
    <w:p w14:paraId="1B6D96A3" w14:textId="77777777" w:rsidR="00EF6CFB" w:rsidRPr="00EF6CFB" w:rsidRDefault="00EF6CFB" w:rsidP="00EF6CFB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EF6CFB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5638A68F" w14:textId="77777777" w:rsidR="00EF6CFB" w:rsidRPr="00EF6CFB" w:rsidRDefault="00EF6CFB" w:rsidP="00EF6CFB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4"/>
        </w:rPr>
      </w:pPr>
      <w:r w:rsidRPr="00EF6CFB">
        <w:rPr>
          <w:rFonts w:ascii="Times New Roman" w:eastAsia="Times New Roman" w:hAnsi="Times New Roman"/>
          <w:b/>
          <w:bCs/>
          <w:i/>
          <w:color w:val="000000"/>
          <w:sz w:val="28"/>
          <w:szCs w:val="24"/>
        </w:rPr>
        <w:t>Характеристики Референсного актива</w:t>
      </w:r>
    </w:p>
    <w:tbl>
      <w:tblPr>
        <w:tblStyle w:val="TableGridLight115"/>
        <w:tblW w:w="9894" w:type="dxa"/>
        <w:tblInd w:w="108" w:type="dxa"/>
        <w:tblLook w:val="04A0" w:firstRow="1" w:lastRow="0" w:firstColumn="1" w:lastColumn="0" w:noHBand="0" w:noVBand="1"/>
      </w:tblPr>
      <w:tblGrid>
        <w:gridCol w:w="2381"/>
        <w:gridCol w:w="7513"/>
      </w:tblGrid>
      <w:tr w:rsidR="00EF6CFB" w:rsidRPr="00AB3C68" w14:paraId="33728259" w14:textId="77777777" w:rsidTr="00EF6CFB">
        <w:tc>
          <w:tcPr>
            <w:tcW w:w="2381" w:type="dxa"/>
          </w:tcPr>
          <w:p w14:paraId="565A9064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6CFB">
              <w:rPr>
                <w:rFonts w:ascii="Times New Roman" w:eastAsia="Times New Roman" w:hAnsi="Times New Roman"/>
                <w:bCs/>
                <w:color w:val="000000"/>
                <w:szCs w:val="20"/>
              </w:rPr>
              <w:t>Наименование</w:t>
            </w:r>
          </w:p>
        </w:tc>
        <w:tc>
          <w:tcPr>
            <w:tcW w:w="7513" w:type="dxa"/>
          </w:tcPr>
          <w:p w14:paraId="6B62415D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EF6CF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>SPDR Select Sector Fund - FINANCIAL (XLF)</w:t>
            </w:r>
          </w:p>
        </w:tc>
      </w:tr>
      <w:tr w:rsidR="00EF6CFB" w:rsidRPr="00EF6CFB" w14:paraId="000891A5" w14:textId="77777777" w:rsidTr="00EF6CFB">
        <w:tc>
          <w:tcPr>
            <w:tcW w:w="2381" w:type="dxa"/>
          </w:tcPr>
          <w:p w14:paraId="4AFF6A05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6CFB">
              <w:rPr>
                <w:rFonts w:ascii="Times New Roman" w:eastAsia="Times New Roman" w:hAnsi="Times New Roman"/>
                <w:color w:val="000000"/>
                <w:szCs w:val="20"/>
                <w:lang w:val="en-GB"/>
              </w:rPr>
              <w:t>ISIN</w:t>
            </w:r>
          </w:p>
        </w:tc>
        <w:tc>
          <w:tcPr>
            <w:tcW w:w="7513" w:type="dxa"/>
          </w:tcPr>
          <w:p w14:paraId="43932BEA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EF6CFB">
              <w:rPr>
                <w:rFonts w:ascii="Times New Roman" w:eastAsia="Times New Roman" w:hAnsi="Times New Roman"/>
                <w:color w:val="333333"/>
                <w:szCs w:val="20"/>
                <w:shd w:val="clear" w:color="auto" w:fill="FFFFFF"/>
              </w:rPr>
              <w:t>US81369Y6059</w:t>
            </w:r>
          </w:p>
        </w:tc>
      </w:tr>
      <w:tr w:rsidR="00EF6CFB" w:rsidRPr="00EF6CFB" w14:paraId="22E51791" w14:textId="77777777" w:rsidTr="00EF6CFB">
        <w:tc>
          <w:tcPr>
            <w:tcW w:w="2381" w:type="dxa"/>
          </w:tcPr>
          <w:p w14:paraId="63C80E0D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6CFB">
              <w:rPr>
                <w:rFonts w:ascii="Times New Roman" w:eastAsia="Times New Roman" w:hAnsi="Times New Roman"/>
                <w:color w:val="000000"/>
                <w:szCs w:val="20"/>
              </w:rPr>
              <w:t>Валюта</w:t>
            </w:r>
          </w:p>
        </w:tc>
        <w:tc>
          <w:tcPr>
            <w:tcW w:w="7513" w:type="dxa"/>
          </w:tcPr>
          <w:p w14:paraId="0CD001E3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</w:rPr>
            </w:pPr>
            <w:r w:rsidRPr="00EF6CFB">
              <w:rPr>
                <w:rFonts w:ascii="Times New Roman" w:eastAsia="Times New Roman" w:hAnsi="Times New Roman"/>
                <w:color w:val="000000"/>
                <w:szCs w:val="20"/>
              </w:rPr>
              <w:t>Доллары США</w:t>
            </w:r>
          </w:p>
        </w:tc>
      </w:tr>
      <w:tr w:rsidR="00EF6CFB" w:rsidRPr="00EF6CFB" w14:paraId="7F14E367" w14:textId="77777777" w:rsidTr="00EF6CFB">
        <w:tc>
          <w:tcPr>
            <w:tcW w:w="2381" w:type="dxa"/>
          </w:tcPr>
          <w:p w14:paraId="49C5CEB2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6CFB">
              <w:rPr>
                <w:rFonts w:ascii="Times New Roman" w:eastAsia="Times New Roman" w:hAnsi="Times New Roman"/>
                <w:color w:val="000000"/>
                <w:szCs w:val="20"/>
              </w:rPr>
              <w:t>Биржа</w:t>
            </w:r>
          </w:p>
        </w:tc>
        <w:tc>
          <w:tcPr>
            <w:tcW w:w="7513" w:type="dxa"/>
          </w:tcPr>
          <w:p w14:paraId="44976545" w14:textId="77777777" w:rsidR="00EF6CFB" w:rsidRPr="00EF6CFB" w:rsidRDefault="00EF6CFB" w:rsidP="00EF6CFB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Cs w:val="20"/>
              </w:rPr>
            </w:pPr>
            <w:r w:rsidRPr="00EF6CFB">
              <w:rPr>
                <w:rFonts w:ascii="Times New Roman" w:eastAsia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EF6CFB" w:rsidRPr="00AB3C68" w14:paraId="7646E8ED" w14:textId="77777777" w:rsidTr="00EF6CFB">
        <w:tc>
          <w:tcPr>
            <w:tcW w:w="2381" w:type="dxa"/>
          </w:tcPr>
          <w:p w14:paraId="5F64D05D" w14:textId="77777777" w:rsidR="00EF6CFB" w:rsidRPr="00EF6CFB" w:rsidRDefault="00EF6CFB" w:rsidP="00EF6CF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EF6CFB">
              <w:rPr>
                <w:rFonts w:ascii="Times New Roman" w:eastAsia="Times New Roman" w:hAnsi="Times New Roman"/>
                <w:color w:val="000000"/>
                <w:szCs w:val="20"/>
              </w:rPr>
              <w:t>Источник цены</w:t>
            </w:r>
          </w:p>
        </w:tc>
        <w:tc>
          <w:tcPr>
            <w:tcW w:w="7513" w:type="dxa"/>
          </w:tcPr>
          <w:p w14:paraId="399A79FE" w14:textId="77777777" w:rsidR="00EF6CFB" w:rsidRPr="00EF6CFB" w:rsidRDefault="005F233B" w:rsidP="00EF6CF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hyperlink r:id="rId8" w:history="1">
              <w:r w:rsidR="00EF6CFB" w:rsidRPr="00EF6CFB">
                <w:rPr>
                  <w:rFonts w:ascii="Times New Roman" w:eastAsia="Times New Roman" w:hAnsi="Times New Roman"/>
                  <w:color w:val="0563C1"/>
                  <w:szCs w:val="20"/>
                  <w:u w:val="single"/>
                  <w:lang w:val="en-US"/>
                </w:rPr>
                <w:t>https://www.nasdaq.com/market-activity/stocks/xlf/historical</w:t>
              </w:r>
            </w:hyperlink>
            <w:r w:rsidR="00EF6CFB" w:rsidRPr="00EF6CFB">
              <w:rPr>
                <w:rFonts w:ascii="Times New Roman" w:eastAsia="Times New Roman" w:hAnsi="Times New Roman"/>
                <w:szCs w:val="20"/>
                <w:lang w:val="en-US"/>
              </w:rPr>
              <w:t xml:space="preserve"> </w:t>
            </w:r>
            <w:r w:rsidR="00EF6CFB" w:rsidRPr="00EF6CFB">
              <w:rPr>
                <w:rFonts w:ascii="Times New Roman" w:eastAsia="Times New Roman" w:hAnsi="Times New Roman"/>
                <w:color w:val="000000"/>
                <w:szCs w:val="20"/>
              </w:rPr>
              <w:t>значение</w:t>
            </w:r>
            <w:r w:rsidR="00EF6CFB" w:rsidRPr="00EF6CFB">
              <w:rPr>
                <w:rFonts w:ascii="Times New Roman" w:eastAsia="Times New Roman" w:hAnsi="Times New Roman"/>
                <w:color w:val="000000"/>
                <w:szCs w:val="20"/>
                <w:lang w:val="en-US"/>
              </w:rPr>
              <w:t xml:space="preserve"> Close/Last</w:t>
            </w:r>
          </w:p>
        </w:tc>
      </w:tr>
    </w:tbl>
    <w:p w14:paraId="1962BC45" w14:textId="77777777" w:rsidR="00EF6CFB" w:rsidRPr="00EF6CFB" w:rsidRDefault="00EF6CFB" w:rsidP="00EF6CF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7BDD5364" w14:textId="77777777" w:rsidR="00EF6CFB" w:rsidRPr="00EF6CFB" w:rsidRDefault="00EF6CFB" w:rsidP="00EF6CFB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t xml:space="preserve">Порядок расчета суммы дополнительного дохода, подлежащего выплате на одну Биржевую </w:t>
      </w:r>
      <w:r w:rsidRPr="00EF6CFB">
        <w:rPr>
          <w:rFonts w:ascii="Times New Roman" w:eastAsia="Times New Roman" w:hAnsi="Times New Roman"/>
          <w:b/>
          <w:bCs/>
          <w:i/>
          <w:iCs/>
          <w:szCs w:val="20"/>
        </w:rPr>
        <w:lastRenderedPageBreak/>
        <w:t>облигацию в каждую дату выплаты дополнительного дохода:</w:t>
      </w:r>
    </w:p>
    <w:p w14:paraId="74D52999" w14:textId="77777777" w:rsidR="00EF6CFB" w:rsidRPr="00EF6CFB" w:rsidRDefault="00EF6CFB" w:rsidP="00EF6CF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EF6CFB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EF6CFB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EF6CFB">
        <w:rPr>
          <w:rFonts w:ascii="Times New Roman" w:eastAsia="Times New Roman" w:hAnsi="Times New Roman"/>
          <w:i/>
          <w:szCs w:val="20"/>
        </w:rPr>
        <w:t xml:space="preserve"> </w:t>
      </w:r>
      <w:r w:rsidRPr="00EF6CF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F6CF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F6CFB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F6CFB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30A9BF9B" w14:textId="77777777" w:rsidR="00EF6CFB" w:rsidRPr="00EF6CFB" w:rsidRDefault="00EF6CFB" w:rsidP="00EF6C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F6CFB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EF6CFB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EF6CFB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B285BDF" w14:textId="77777777" w:rsidR="00EF6CFB" w:rsidRPr="00EF6CFB" w:rsidRDefault="00EF6CFB" w:rsidP="00EF6C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EF6CFB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EF6CFB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133441CB" w14:textId="56596D8D" w:rsidR="00873285" w:rsidRPr="00EF6CFB" w:rsidRDefault="00EF6CFB" w:rsidP="00EF6CFB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2"/>
        </w:rPr>
      </w:pPr>
      <w:r w:rsidRPr="00EF6CFB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04CE5" w14:textId="77777777" w:rsidR="005F233B" w:rsidRDefault="005F233B" w:rsidP="0053664B">
      <w:pPr>
        <w:spacing w:after="0" w:line="240" w:lineRule="auto"/>
      </w:pPr>
      <w:r>
        <w:separator/>
      </w:r>
    </w:p>
  </w:endnote>
  <w:endnote w:type="continuationSeparator" w:id="0">
    <w:p w14:paraId="532FA7BF" w14:textId="77777777" w:rsidR="005F233B" w:rsidRDefault="005F233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685E3CF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A09C7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8A997" w14:textId="77777777" w:rsidR="005F233B" w:rsidRDefault="005F233B" w:rsidP="0053664B">
      <w:pPr>
        <w:spacing w:after="0" w:line="240" w:lineRule="auto"/>
      </w:pPr>
      <w:r>
        <w:separator/>
      </w:r>
    </w:p>
  </w:footnote>
  <w:footnote w:type="continuationSeparator" w:id="0">
    <w:p w14:paraId="59ADA9BE" w14:textId="77777777" w:rsidR="005F233B" w:rsidRDefault="005F233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3B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3C68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09C7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EF6CFB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EF5A922-919D-4365-BC1B-EA6F9FF6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EF6CF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xlf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84DD6-6EE0-4E66-AC03-DCEC2031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4903</Words>
  <Characters>27948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shishkanova@office.finam.ru</cp:lastModifiedBy>
  <cp:revision>2</cp:revision>
  <cp:lastPrinted>2020-03-05T15:22:00Z</cp:lastPrinted>
  <dcterms:created xsi:type="dcterms:W3CDTF">2021-08-03T12:56:00Z</dcterms:created>
  <dcterms:modified xsi:type="dcterms:W3CDTF">2021-08-03T12:56:00Z</dcterms:modified>
</cp:coreProperties>
</file>