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42D69040" w:rsidR="00996E29" w:rsidRPr="00EF6CFB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90F492D" w:rsidR="00996E29" w:rsidRPr="004967FC" w:rsidRDefault="00EF6CF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6CC2861" w:rsidR="00996E29" w:rsidRPr="001A7ABD" w:rsidRDefault="0058259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948306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58259F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58259F" w:rsidRPr="0058259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EACB73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F6CFB" w:rsidRPr="00EF6CFB">
        <w:rPr>
          <w:rFonts w:ascii="Times New Roman" w:hAnsi="Times New Roman"/>
          <w:b/>
          <w:bCs/>
          <w:i/>
          <w:iCs/>
          <w:color w:val="000000"/>
        </w:rPr>
        <w:t>21</w:t>
      </w:r>
      <w:r w:rsidR="0058259F" w:rsidRPr="0058259F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FFFA56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EF6CFB" w:rsidRPr="00EF6CFB">
        <w:rPr>
          <w:b/>
          <w:i/>
          <w:sz w:val="22"/>
          <w:szCs w:val="22"/>
        </w:rPr>
        <w:t>21</w:t>
      </w:r>
      <w:r w:rsidR="0058259F" w:rsidRPr="0058259F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F6CFB">
        <w:rPr>
          <w:b/>
          <w:i/>
          <w:sz w:val="22"/>
          <w:szCs w:val="22"/>
        </w:rPr>
        <w:t>1</w:t>
      </w:r>
      <w:r w:rsidR="00EF6CFB" w:rsidRPr="00EF6CFB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EF6CFB" w:rsidRPr="00EF6CFB">
        <w:rPr>
          <w:b/>
          <w:i/>
          <w:sz w:val="22"/>
          <w:szCs w:val="22"/>
        </w:rPr>
        <w:t>04</w:t>
      </w:r>
      <w:r w:rsidR="00EF6CFB">
        <w:rPr>
          <w:b/>
          <w:i/>
          <w:sz w:val="22"/>
          <w:szCs w:val="22"/>
        </w:rPr>
        <w:t>.202</w:t>
      </w:r>
      <w:r w:rsidR="00EF6CFB" w:rsidRPr="00EF6CFB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C8A5D9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36F7D5B" w14:textId="77777777" w:rsidR="0058259F" w:rsidRPr="0058259F" w:rsidRDefault="0058259F" w:rsidP="005825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58259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7290A16" w14:textId="77777777" w:rsidR="0058259F" w:rsidRPr="0058259F" w:rsidRDefault="0058259F" w:rsidP="0058259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8259F">
        <w:rPr>
          <w:rFonts w:ascii="Times New Roman" w:eastAsia="Times New Roman" w:hAnsi="Times New Roman"/>
          <w:bCs/>
          <w:i/>
          <w:iCs/>
          <w:szCs w:val="20"/>
        </w:rPr>
        <w:t xml:space="preserve">Для периодов дополнительного дохода с порядковым номером j = 1, 2, 3, 4, 5, 6  </w:t>
      </w:r>
    </w:p>
    <w:p w14:paraId="0C74DBC4" w14:textId="77777777" w:rsidR="0058259F" w:rsidRPr="0058259F" w:rsidRDefault="0058259F" w:rsidP="0058259F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8259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A1FA5A6" w14:textId="77777777" w:rsidR="0058259F" w:rsidRPr="0058259F" w:rsidRDefault="0058259F" w:rsidP="0058259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8259F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2B22BB08" w14:textId="77777777" w:rsidR="0058259F" w:rsidRPr="0058259F" w:rsidRDefault="0058259F" w:rsidP="0058259F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8259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58259F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6E6DE0C5" w14:textId="35B4DB4D" w:rsidR="0058259F" w:rsidRPr="0058259F" w:rsidRDefault="0058259F" w:rsidP="005825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8259F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58259F">
        <w:rPr>
          <w:rFonts w:ascii="Times New Roman" w:eastAsia="Times New Roman" w:hAnsi="Times New Roman"/>
          <w:szCs w:val="20"/>
        </w:rPr>
        <w:t xml:space="preserve"> –</w:t>
      </w:r>
      <w:r w:rsidRPr="0058259F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58259F">
        <w:rPr>
          <w:rFonts w:ascii="Times New Roman" w:eastAsia="Times New Roman" w:hAnsi="Times New Roman"/>
          <w:szCs w:val="20"/>
        </w:rPr>
        <w:t>величина</w:t>
      </w:r>
      <w:r w:rsidRPr="0058259F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58259F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854CE9F" w14:textId="77777777" w:rsidR="0058259F" w:rsidRPr="0058259F" w:rsidRDefault="0058259F" w:rsidP="0058259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58259F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58259F">
        <w:rPr>
          <w:rFonts w:ascii="Times New Roman" w:eastAsia="Times New Roman" w:hAnsi="Times New Roman"/>
          <w:b/>
          <w:i/>
          <w:szCs w:val="20"/>
        </w:rPr>
        <w:t>j</w:t>
      </w:r>
      <w:r w:rsidRPr="0058259F">
        <w:rPr>
          <w:rFonts w:ascii="Times New Roman" w:eastAsia="Times New Roman" w:hAnsi="Times New Roman"/>
          <w:b/>
          <w:szCs w:val="20"/>
        </w:rPr>
        <w:t xml:space="preserve"> </w:t>
      </w:r>
      <w:r w:rsidRPr="0058259F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3887505A" w14:textId="77777777" w:rsidR="0058259F" w:rsidRPr="0058259F" w:rsidRDefault="0058259F" w:rsidP="0058259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58259F">
        <w:rPr>
          <w:rFonts w:ascii="Times New Roman" w:eastAsia="Times New Roman" w:hAnsi="Times New Roman"/>
          <w:b/>
          <w:szCs w:val="20"/>
          <w:lang w:val="en-US"/>
        </w:rPr>
        <w:t>S</w:t>
      </w:r>
      <w:r w:rsidRPr="0058259F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58259F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58259F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3A225514" w14:textId="77777777" w:rsidR="0058259F" w:rsidRPr="0058259F" w:rsidRDefault="0058259F" w:rsidP="0058259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58259F">
        <w:rPr>
          <w:rFonts w:ascii="Times New Roman" w:eastAsia="Times New Roman" w:hAnsi="Times New Roman"/>
          <w:b/>
          <w:szCs w:val="20"/>
          <w:lang w:val="en-US"/>
        </w:rPr>
        <w:t>S</w:t>
      </w:r>
      <w:r w:rsidRPr="0058259F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58259F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58259F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58259F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58259F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58259F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58259F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58259F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58259F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58259F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5226A593" w14:textId="77777777" w:rsidR="0058259F" w:rsidRPr="0058259F" w:rsidRDefault="0058259F" w:rsidP="0058259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58259F">
        <w:rPr>
          <w:rFonts w:ascii="Times New Roman" w:eastAsia="Times New Roman" w:hAnsi="Times New Roman"/>
          <w:b/>
          <w:i/>
          <w:color w:val="000000"/>
          <w:szCs w:val="24"/>
          <w:lang w:val="en-US"/>
        </w:rPr>
        <w:t>FX</w:t>
      </w:r>
      <w:r w:rsidRPr="0058259F">
        <w:rPr>
          <w:rFonts w:ascii="Times New Roman" w:eastAsia="Times New Roman" w:hAnsi="Times New Roman"/>
          <w:color w:val="000000"/>
          <w:szCs w:val="24"/>
        </w:rPr>
        <w:t xml:space="preserve"> – валютный множитель. Определяется как </w:t>
      </w:r>
      <w:r w:rsidRPr="0058259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58259F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58259F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58259F">
        <w:rPr>
          <w:rFonts w:ascii="Times New Roman" w:eastAsia="Times New Roman" w:hAnsi="Times New Roman"/>
          <w:bCs/>
          <w:i/>
          <w:iCs/>
          <w:szCs w:val="24"/>
        </w:rPr>
        <w:t>)/</w:t>
      </w:r>
      <w:r w:rsidRPr="0058259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58259F">
        <w:rPr>
          <w:rFonts w:ascii="Times New Roman" w:eastAsia="Times New Roman" w:hAnsi="Times New Roman"/>
          <w:bCs/>
          <w:i/>
          <w:iCs/>
          <w:szCs w:val="24"/>
        </w:rPr>
        <w:t xml:space="preserve">(0), </w:t>
      </w:r>
      <w:r w:rsidRPr="0058259F">
        <w:rPr>
          <w:rFonts w:ascii="Times New Roman" w:eastAsia="Times New Roman" w:hAnsi="Times New Roman"/>
          <w:bCs/>
          <w:iCs/>
          <w:szCs w:val="24"/>
        </w:rPr>
        <w:t>где:</w:t>
      </w:r>
    </w:p>
    <w:p w14:paraId="2FAAD2EB" w14:textId="77777777" w:rsidR="0058259F" w:rsidRPr="0058259F" w:rsidRDefault="0058259F" w:rsidP="0058259F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58259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58259F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58259F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58259F">
        <w:rPr>
          <w:rFonts w:ascii="Times New Roman" w:eastAsia="Times New Roman" w:hAnsi="Times New Roman"/>
          <w:bCs/>
          <w:i/>
          <w:iCs/>
          <w:szCs w:val="24"/>
        </w:rPr>
        <w:t xml:space="preserve">) – </w:t>
      </w:r>
      <w:r w:rsidRPr="0058259F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определения дополнительного дохода (</w:t>
      </w:r>
      <w:r w:rsidRPr="0058259F">
        <w:rPr>
          <w:rFonts w:ascii="Times New Roman" w:eastAsia="Times New Roman" w:hAnsi="Times New Roman"/>
          <w:i/>
          <w:szCs w:val="24"/>
          <w:lang w:val="en-US"/>
        </w:rPr>
        <w:t>j</w:t>
      </w:r>
      <w:r w:rsidRPr="0058259F">
        <w:rPr>
          <w:rFonts w:ascii="Times New Roman" w:eastAsia="Times New Roman" w:hAnsi="Times New Roman"/>
          <w:i/>
          <w:szCs w:val="24"/>
        </w:rPr>
        <w:t>)</w:t>
      </w:r>
      <w:r w:rsidRPr="0058259F">
        <w:rPr>
          <w:rFonts w:ascii="Times New Roman" w:eastAsia="Times New Roman" w:hAnsi="Times New Roman"/>
          <w:szCs w:val="24"/>
        </w:rPr>
        <w:t>;</w:t>
      </w:r>
    </w:p>
    <w:p w14:paraId="476A4508" w14:textId="77777777" w:rsidR="0058259F" w:rsidRPr="0058259F" w:rsidRDefault="0058259F" w:rsidP="0058259F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58259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58259F">
        <w:rPr>
          <w:rFonts w:ascii="Times New Roman" w:eastAsia="Times New Roman" w:hAnsi="Times New Roman"/>
          <w:bCs/>
          <w:i/>
          <w:iCs/>
          <w:szCs w:val="24"/>
        </w:rPr>
        <w:t xml:space="preserve">(0) – </w:t>
      </w:r>
      <w:r w:rsidRPr="0058259F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начала размещения Биржевых облигаций;</w:t>
      </w:r>
    </w:p>
    <w:p w14:paraId="52E71E92" w14:textId="77777777" w:rsidR="0058259F" w:rsidRPr="0058259F" w:rsidRDefault="0058259F" w:rsidP="0058259F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58259F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 Референсным активом на соответствующей Бирже Референсного актива.</w:t>
      </w:r>
    </w:p>
    <w:p w14:paraId="078C98A4" w14:textId="77777777" w:rsidR="0058259F" w:rsidRPr="0058259F" w:rsidRDefault="0058259F" w:rsidP="0058259F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58259F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37C877A3" w14:textId="77777777" w:rsidR="0058259F" w:rsidRPr="0058259F" w:rsidRDefault="0058259F" w:rsidP="0058259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58259F">
        <w:rPr>
          <w:rFonts w:ascii="Times New Roman" w:eastAsia="Times New Roman" w:hAnsi="Times New Roman"/>
          <w:b/>
          <w:bCs/>
          <w:i/>
          <w:color w:val="000000"/>
          <w:sz w:val="28"/>
          <w:szCs w:val="24"/>
        </w:rPr>
        <w:t>Характеристики Референсного актива</w:t>
      </w:r>
    </w:p>
    <w:tbl>
      <w:tblPr>
        <w:tblStyle w:val="TableGridLight116"/>
        <w:tblW w:w="9923" w:type="dxa"/>
        <w:tblInd w:w="108" w:type="dxa"/>
        <w:tblLook w:val="04A0" w:firstRow="1" w:lastRow="0" w:firstColumn="1" w:lastColumn="0" w:noHBand="0" w:noVBand="1"/>
      </w:tblPr>
      <w:tblGrid>
        <w:gridCol w:w="1814"/>
        <w:gridCol w:w="8109"/>
      </w:tblGrid>
      <w:tr w:rsidR="0058259F" w:rsidRPr="0058259F" w14:paraId="2A61A2CD" w14:textId="77777777" w:rsidTr="0058259F">
        <w:tc>
          <w:tcPr>
            <w:tcW w:w="1814" w:type="dxa"/>
          </w:tcPr>
          <w:p w14:paraId="20A27A90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58259F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8109" w:type="dxa"/>
          </w:tcPr>
          <w:p w14:paraId="1444B1B1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58259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ISHARES GLOBAL CLEAN ENERGY ETF (ICLN)</w:t>
            </w:r>
          </w:p>
        </w:tc>
      </w:tr>
      <w:tr w:rsidR="0058259F" w:rsidRPr="0058259F" w14:paraId="16E28166" w14:textId="77777777" w:rsidTr="0058259F">
        <w:tc>
          <w:tcPr>
            <w:tcW w:w="1814" w:type="dxa"/>
          </w:tcPr>
          <w:p w14:paraId="7EAF6198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58259F">
              <w:rPr>
                <w:rFonts w:ascii="Times New Roman" w:eastAsia="Times New Roman" w:hAnsi="Times New Roman"/>
                <w:color w:val="000000"/>
                <w:szCs w:val="20"/>
                <w:lang w:val="en-GB"/>
              </w:rPr>
              <w:t>ISIN</w:t>
            </w:r>
          </w:p>
        </w:tc>
        <w:tc>
          <w:tcPr>
            <w:tcW w:w="8109" w:type="dxa"/>
          </w:tcPr>
          <w:p w14:paraId="293FFD3B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58259F">
              <w:rPr>
                <w:rFonts w:ascii="Times New Roman" w:eastAsia="Times New Roman" w:hAnsi="Times New Roman"/>
                <w:color w:val="333333"/>
                <w:szCs w:val="20"/>
                <w:shd w:val="clear" w:color="auto" w:fill="FFFFFF"/>
              </w:rPr>
              <w:t>US4642882249</w:t>
            </w:r>
          </w:p>
        </w:tc>
      </w:tr>
      <w:tr w:rsidR="0058259F" w:rsidRPr="0058259F" w14:paraId="79DAEBA5" w14:textId="77777777" w:rsidTr="0058259F">
        <w:tc>
          <w:tcPr>
            <w:tcW w:w="1814" w:type="dxa"/>
          </w:tcPr>
          <w:p w14:paraId="0A8AEC0B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58259F">
              <w:rPr>
                <w:rFonts w:ascii="Times New Roman" w:eastAsia="Times New Roman" w:hAnsi="Times New Roman"/>
                <w:color w:val="000000"/>
                <w:szCs w:val="20"/>
              </w:rPr>
              <w:t>Валюта</w:t>
            </w:r>
          </w:p>
        </w:tc>
        <w:tc>
          <w:tcPr>
            <w:tcW w:w="8109" w:type="dxa"/>
          </w:tcPr>
          <w:p w14:paraId="0E8E0823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58259F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</w:tr>
      <w:tr w:rsidR="0058259F" w:rsidRPr="0058259F" w14:paraId="54C4A5AC" w14:textId="77777777" w:rsidTr="0058259F">
        <w:tc>
          <w:tcPr>
            <w:tcW w:w="1814" w:type="dxa"/>
          </w:tcPr>
          <w:p w14:paraId="5E8F1D57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58259F">
              <w:rPr>
                <w:rFonts w:ascii="Times New Roman" w:eastAsia="Times New Roman" w:hAnsi="Times New Roman"/>
                <w:color w:val="000000"/>
                <w:szCs w:val="20"/>
              </w:rPr>
              <w:t>Биржа</w:t>
            </w:r>
          </w:p>
        </w:tc>
        <w:tc>
          <w:tcPr>
            <w:tcW w:w="8109" w:type="dxa"/>
          </w:tcPr>
          <w:p w14:paraId="33656AF2" w14:textId="77777777" w:rsidR="0058259F" w:rsidRPr="0058259F" w:rsidRDefault="0058259F" w:rsidP="0058259F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58259F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58259F" w:rsidRPr="0058259F" w14:paraId="5772E263" w14:textId="77777777" w:rsidTr="0058259F">
        <w:tc>
          <w:tcPr>
            <w:tcW w:w="1814" w:type="dxa"/>
          </w:tcPr>
          <w:p w14:paraId="17149692" w14:textId="77777777" w:rsidR="0058259F" w:rsidRPr="0058259F" w:rsidRDefault="0058259F" w:rsidP="005825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58259F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8109" w:type="dxa"/>
          </w:tcPr>
          <w:p w14:paraId="0BE125C6" w14:textId="77777777" w:rsidR="0058259F" w:rsidRPr="0058259F" w:rsidRDefault="00D55222" w:rsidP="005825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  <w:lang w:val="en-US"/>
              </w:rPr>
            </w:pPr>
            <w:hyperlink r:id="rId8" w:history="1">
              <w:r w:rsidR="0058259F" w:rsidRPr="0058259F">
                <w:rPr>
                  <w:rFonts w:ascii="Times New Roman" w:eastAsia="Times New Roman" w:hAnsi="Times New Roman"/>
                  <w:color w:val="0563C1"/>
                  <w:szCs w:val="20"/>
                  <w:u w:val="single"/>
                  <w:lang w:val="en-US"/>
                </w:rPr>
                <w:t>https://www.nasdaq.com/market-activity/funds-and-etfs/icln/historical</w:t>
              </w:r>
            </w:hyperlink>
            <w:r w:rsidR="0058259F" w:rsidRPr="0058259F">
              <w:rPr>
                <w:rFonts w:ascii="Times New Roman" w:eastAsia="Times New Roman" w:hAnsi="Times New Roman"/>
                <w:szCs w:val="20"/>
                <w:lang w:val="en-US"/>
              </w:rPr>
              <w:t xml:space="preserve"> </w:t>
            </w:r>
            <w:r w:rsidR="0058259F" w:rsidRPr="0058259F">
              <w:rPr>
                <w:rFonts w:ascii="Times New Roman" w:eastAsia="Times New Roman" w:hAnsi="Times New Roman"/>
                <w:color w:val="000000"/>
                <w:szCs w:val="20"/>
              </w:rPr>
              <w:t>значение</w:t>
            </w:r>
            <w:r w:rsidR="0058259F" w:rsidRPr="0058259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Close/Last</w:t>
            </w:r>
          </w:p>
        </w:tc>
      </w:tr>
    </w:tbl>
    <w:p w14:paraId="6D63D86A" w14:textId="77777777" w:rsidR="0058259F" w:rsidRPr="0058259F" w:rsidRDefault="0058259F" w:rsidP="0058259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2A723C4A" w14:textId="77777777" w:rsidR="0058259F" w:rsidRPr="0058259F" w:rsidRDefault="0058259F" w:rsidP="0058259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58259F">
        <w:rPr>
          <w:rFonts w:ascii="Times New Roman" w:eastAsia="Times New Roman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B7FBE5E" w14:textId="77777777" w:rsidR="0058259F" w:rsidRPr="0058259F" w:rsidRDefault="0058259F" w:rsidP="0058259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58259F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58259F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58259F">
        <w:rPr>
          <w:rFonts w:ascii="Times New Roman" w:eastAsia="Times New Roman" w:hAnsi="Times New Roman"/>
          <w:i/>
          <w:szCs w:val="20"/>
        </w:rPr>
        <w:t xml:space="preserve"> </w:t>
      </w:r>
      <w:r w:rsidRPr="0058259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58259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8259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58259F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EB71408" w14:textId="77777777" w:rsidR="0058259F" w:rsidRPr="0058259F" w:rsidRDefault="0058259F" w:rsidP="005825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8259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58259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8259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08868BA" w14:textId="77777777" w:rsidR="0058259F" w:rsidRPr="0058259F" w:rsidRDefault="0058259F" w:rsidP="005825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8259F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58259F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133441CB" w14:textId="0C2657C1" w:rsidR="00873285" w:rsidRPr="0058259F" w:rsidRDefault="0058259F" w:rsidP="0058259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6"/>
        </w:rPr>
      </w:pPr>
      <w:r w:rsidRPr="0058259F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4D964" w14:textId="77777777" w:rsidR="00D55222" w:rsidRDefault="00D55222" w:rsidP="0053664B">
      <w:pPr>
        <w:spacing w:after="0" w:line="240" w:lineRule="auto"/>
      </w:pPr>
      <w:r>
        <w:separator/>
      </w:r>
    </w:p>
  </w:endnote>
  <w:endnote w:type="continuationSeparator" w:id="0">
    <w:p w14:paraId="241A4C91" w14:textId="77777777" w:rsidR="00D55222" w:rsidRDefault="00D5522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6A0CE6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56A2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2565B" w14:textId="77777777" w:rsidR="00D55222" w:rsidRDefault="00D55222" w:rsidP="0053664B">
      <w:pPr>
        <w:spacing w:after="0" w:line="240" w:lineRule="auto"/>
      </w:pPr>
      <w:r>
        <w:separator/>
      </w:r>
    </w:p>
  </w:footnote>
  <w:footnote w:type="continuationSeparator" w:id="0">
    <w:p w14:paraId="67A15692" w14:textId="77777777" w:rsidR="00D55222" w:rsidRDefault="00D5522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259F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222"/>
    <w:rsid w:val="00D554D6"/>
    <w:rsid w:val="00D56A2A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EF6CFB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6F8FADC-1EA5-4EC7-8EE7-9FF928C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EF6CF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58259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funds-and-etfs/icln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B816-FC65-43A5-8F07-E17F98D1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4906</Words>
  <Characters>27966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shishkanova@office.finam.ru</cp:lastModifiedBy>
  <cp:revision>2</cp:revision>
  <cp:lastPrinted>2020-03-05T15:22:00Z</cp:lastPrinted>
  <dcterms:created xsi:type="dcterms:W3CDTF">2021-08-03T13:00:00Z</dcterms:created>
  <dcterms:modified xsi:type="dcterms:W3CDTF">2021-08-03T13:00:00Z</dcterms:modified>
</cp:coreProperties>
</file>