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B01A6B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1B42CA" w:rsidRDefault="00B01A6B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B01A6B" w:rsidRPr="001B42CA" w:rsidRDefault="00B01A6B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A6B" w:rsidRPr="00577A0E" w:rsidRDefault="00577A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1B42CA" w:rsidRDefault="00B01A6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A6B" w:rsidRPr="00577A0E" w:rsidRDefault="00577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1B42CA" w:rsidRDefault="00B01A6B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A6B" w:rsidRPr="00915C86" w:rsidRDefault="0057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1B42CA" w:rsidRDefault="00B01A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B01A6B" w:rsidRPr="001B42CA" w:rsidRDefault="00B01A6B">
      <w:pPr>
        <w:ind w:left="3714"/>
        <w:rPr>
          <w:sz w:val="18"/>
          <w:szCs w:val="18"/>
        </w:rPr>
      </w:pPr>
    </w:p>
    <w:p w:rsidR="00B01A6B" w:rsidRPr="001B42CA" w:rsidRDefault="00B01A6B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01A6B" w:rsidRPr="001B42CA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A926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B01A6B" w:rsidRPr="00577A0E" w:rsidRDefault="00577A0E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</w:tr>
    </w:tbl>
    <w:p w:rsidR="00B01A6B" w:rsidRPr="001B42CA" w:rsidRDefault="00B01A6B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:rsidR="00B01A6B" w:rsidRPr="001B42CA" w:rsidRDefault="00B01A6B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B01A6B" w:rsidRPr="001B42CA" w:rsidRDefault="00B01A6B" w:rsidP="00A3066B">
      <w:pPr>
        <w:ind w:left="2552" w:right="-2"/>
        <w:jc w:val="center"/>
        <w:rPr>
          <w:sz w:val="24"/>
          <w:szCs w:val="24"/>
        </w:rPr>
      </w:pPr>
    </w:p>
    <w:p w:rsidR="00B01A6B" w:rsidRPr="001B42CA" w:rsidRDefault="00B01A6B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:rsidR="00B01A6B" w:rsidRPr="001B42CA" w:rsidRDefault="00B01A6B">
      <w:pPr>
        <w:spacing w:before="240"/>
        <w:ind w:left="3714"/>
        <w:jc w:val="center"/>
      </w:pPr>
      <w:r w:rsidRPr="001B42CA">
        <w:t>(печать)</w:t>
      </w:r>
    </w:p>
    <w:p w:rsidR="00B01A6B" w:rsidRDefault="00B01A6B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B01A6B" w:rsidRPr="008337C6" w:rsidRDefault="00B01A6B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ОБЛИГАЦИЙ </w:t>
      </w:r>
    </w:p>
    <w:p w:rsidR="00B01A6B" w:rsidRDefault="00B01A6B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B01A6B" w:rsidRPr="008337C6" w:rsidRDefault="00B01A6B" w:rsidP="00C445CC">
      <w:pPr>
        <w:pStyle w:val="2"/>
        <w:spacing w:before="0"/>
        <w:rPr>
          <w:sz w:val="32"/>
          <w:szCs w:val="32"/>
        </w:rPr>
      </w:pPr>
    </w:p>
    <w:p w:rsidR="00B01A6B" w:rsidRPr="00132894" w:rsidRDefault="00B01A6B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B01A6B" w:rsidRPr="00DB5BD1" w:rsidRDefault="00B01A6B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B01A6B" w:rsidRPr="00A40D96" w:rsidRDefault="00B01A6B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B01A6B" w:rsidRPr="003C05DD" w:rsidRDefault="00B01A6B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3C05DD">
        <w:rPr>
          <w:b/>
          <w:bCs/>
          <w:i/>
          <w:iCs/>
          <w:sz w:val="22"/>
          <w:szCs w:val="22"/>
        </w:rPr>
        <w:t xml:space="preserve">биржевые </w:t>
      </w:r>
      <w:r w:rsidRPr="007C0AD1">
        <w:rPr>
          <w:b/>
          <w:bCs/>
          <w:i/>
          <w:iCs/>
          <w:sz w:val="22"/>
          <w:szCs w:val="22"/>
        </w:rPr>
        <w:t xml:space="preserve">облигации неконвертируемые процентные документарные на предъявителя с обязательным централизованным хранением </w:t>
      </w:r>
      <w:r w:rsidRPr="00F645DC">
        <w:rPr>
          <w:b/>
          <w:bCs/>
          <w:i/>
          <w:iCs/>
          <w:color w:val="000000"/>
          <w:sz w:val="22"/>
          <w:szCs w:val="22"/>
        </w:rPr>
        <w:t>серии 001Р-</w:t>
      </w:r>
      <w:r>
        <w:rPr>
          <w:b/>
          <w:bCs/>
          <w:i/>
          <w:iCs/>
          <w:color w:val="000000"/>
          <w:sz w:val="22"/>
          <w:szCs w:val="22"/>
        </w:rPr>
        <w:t>07</w:t>
      </w:r>
      <w:r w:rsidRPr="00F645DC">
        <w:rPr>
          <w:b/>
          <w:bCs/>
          <w:i/>
          <w:iCs/>
          <w:color w:val="000000"/>
          <w:sz w:val="22"/>
          <w:szCs w:val="22"/>
        </w:rPr>
        <w:t xml:space="preserve"> в количестве 10 000 000 (Десять миллионов)  штук, номинальной стоимостью 1 000 (Одна тысяча) российских рублей каждая, общей номинальной стоимостью 10 000 000 000 (Десять миллиардов</w:t>
      </w:r>
      <w:r w:rsidRPr="007C0AD1">
        <w:rPr>
          <w:b/>
          <w:bCs/>
          <w:i/>
          <w:iCs/>
          <w:sz w:val="22"/>
          <w:szCs w:val="22"/>
        </w:rPr>
        <w:t xml:space="preserve">) рублей, со сроком погашения в </w:t>
      </w:r>
      <w:r w:rsidRPr="007C0AD1">
        <w:rPr>
          <w:b/>
          <w:bCs/>
          <w:i/>
          <w:iCs/>
          <w:color w:val="000000"/>
          <w:sz w:val="22"/>
          <w:szCs w:val="22"/>
        </w:rPr>
        <w:t>5 460 (Пять тысяч четыреста шестидесятый) день с даты начала размещения биржевых облигаций, размещаемые по отрытой подписке</w:t>
      </w:r>
    </w:p>
    <w:p w:rsidR="00B01A6B" w:rsidRPr="003C05DD" w:rsidRDefault="00B01A6B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B01A6B" w:rsidRPr="00A40D96" w:rsidRDefault="00B01A6B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D0836">
        <w:rPr>
          <w:b/>
          <w:bCs/>
          <w:i/>
          <w:iCs/>
          <w:sz w:val="22"/>
          <w:szCs w:val="22"/>
        </w:rPr>
        <w:t xml:space="preserve">неконвертируемых процентных документарных </w:t>
      </w:r>
      <w:r w:rsidRPr="00A40D96">
        <w:rPr>
          <w:b/>
          <w:bCs/>
          <w:i/>
          <w:iCs/>
          <w:sz w:val="22"/>
          <w:szCs w:val="22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C620BE">
        <w:rPr>
          <w:b/>
          <w:bCs/>
          <w:i/>
          <w:iCs/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</w:t>
      </w:r>
      <w:r>
        <w:rPr>
          <w:b/>
          <w:bCs/>
          <w:i/>
          <w:iCs/>
          <w:sz w:val="22"/>
          <w:szCs w:val="22"/>
        </w:rPr>
        <w:t>001Р</w:t>
      </w:r>
      <w:r w:rsidRPr="00A40D96">
        <w:rPr>
          <w:b/>
          <w:bCs/>
          <w:i/>
          <w:iCs/>
          <w:sz w:val="22"/>
          <w:szCs w:val="22"/>
        </w:rPr>
        <w:t xml:space="preserve">, до </w:t>
      </w:r>
      <w:r>
        <w:rPr>
          <w:b/>
          <w:bCs/>
          <w:i/>
          <w:iCs/>
          <w:sz w:val="22"/>
          <w:szCs w:val="22"/>
        </w:rPr>
        <w:t xml:space="preserve">        </w:t>
      </w:r>
      <w:r w:rsidRPr="00C620BE">
        <w:rPr>
          <w:b/>
          <w:bCs/>
          <w:i/>
          <w:iCs/>
          <w:sz w:val="22"/>
          <w:szCs w:val="22"/>
        </w:rPr>
        <w:t>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001Р</w:t>
      </w:r>
      <w:r w:rsidRPr="00A40D96">
        <w:rPr>
          <w:b/>
          <w:bCs/>
          <w:i/>
          <w:iCs/>
          <w:sz w:val="22"/>
          <w:szCs w:val="22"/>
        </w:rPr>
        <w:t xml:space="preserve">, размещаемые по открытой подписке, </w:t>
      </w:r>
      <w:r w:rsidRPr="00C620BE">
        <w:rPr>
          <w:b/>
          <w:bCs/>
          <w:i/>
          <w:iCs/>
          <w:sz w:val="22"/>
          <w:szCs w:val="22"/>
        </w:rPr>
        <w:t>имеющей идентификационный</w:t>
      </w:r>
      <w:r w:rsidRPr="00A40D96">
        <w:rPr>
          <w:b/>
          <w:i/>
          <w:sz w:val="22"/>
          <w:szCs w:val="22"/>
        </w:rPr>
        <w:t xml:space="preserve"> номер </w:t>
      </w:r>
      <w:r w:rsidRPr="002C5E3D">
        <w:rPr>
          <w:b/>
          <w:i/>
          <w:sz w:val="22"/>
          <w:szCs w:val="22"/>
        </w:rPr>
        <w:t>4-32432-</w:t>
      </w:r>
      <w:r>
        <w:rPr>
          <w:b/>
          <w:i/>
          <w:sz w:val="22"/>
          <w:szCs w:val="22"/>
          <w:lang w:val="en-US"/>
        </w:rPr>
        <w:t>H</w:t>
      </w:r>
      <w:r w:rsidRPr="002C5E3D">
        <w:rPr>
          <w:b/>
          <w:i/>
          <w:sz w:val="22"/>
          <w:szCs w:val="22"/>
        </w:rPr>
        <w:t>-001</w:t>
      </w:r>
      <w:r>
        <w:rPr>
          <w:b/>
          <w:i/>
          <w:sz w:val="22"/>
          <w:szCs w:val="22"/>
          <w:lang w:val="en-US"/>
        </w:rPr>
        <w:t>P</w:t>
      </w:r>
      <w:r w:rsidRPr="002C5E3D">
        <w:rPr>
          <w:b/>
          <w:i/>
          <w:sz w:val="22"/>
          <w:szCs w:val="22"/>
        </w:rPr>
        <w:t>-02</w:t>
      </w:r>
      <w:r>
        <w:rPr>
          <w:b/>
          <w:i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</w:t>
      </w:r>
      <w:r w:rsidRPr="002C5E3D">
        <w:rPr>
          <w:b/>
          <w:bCs/>
          <w:i/>
          <w:iCs/>
          <w:sz w:val="22"/>
          <w:szCs w:val="22"/>
        </w:rPr>
        <w:t>.08</w:t>
      </w:r>
      <w:r>
        <w:rPr>
          <w:b/>
          <w:bCs/>
          <w:i/>
          <w:iCs/>
          <w:sz w:val="22"/>
          <w:szCs w:val="22"/>
        </w:rPr>
        <w:t>.</w:t>
      </w:r>
      <w:r w:rsidRPr="00A40D96">
        <w:rPr>
          <w:b/>
          <w:bCs/>
          <w:i/>
          <w:iCs/>
          <w:sz w:val="22"/>
          <w:szCs w:val="22"/>
        </w:rPr>
        <w:t>2016</w:t>
      </w:r>
    </w:p>
    <w:p w:rsidR="00B01A6B" w:rsidRPr="00A40D96" w:rsidRDefault="00B01A6B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B01A6B" w:rsidRPr="00A40D96" w:rsidRDefault="00B01A6B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>
        <w:rPr>
          <w:b/>
          <w:i/>
          <w:sz w:val="22"/>
          <w:szCs w:val="22"/>
        </w:rPr>
        <w:t>001Р</w:t>
      </w:r>
    </w:p>
    <w:p w:rsidR="00B01A6B" w:rsidRPr="008A23BA" w:rsidRDefault="00B01A6B" w:rsidP="002C5E3D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Pr="002C5E3D">
        <w:rPr>
          <w:sz w:val="22"/>
          <w:szCs w:val="22"/>
        </w:rPr>
        <w:t>001</w:t>
      </w:r>
      <w:r>
        <w:rPr>
          <w:sz w:val="22"/>
          <w:szCs w:val="22"/>
          <w:lang w:val="en-US"/>
        </w:rPr>
        <w:t>P</w:t>
      </w:r>
      <w:r w:rsidRPr="00A40D96">
        <w:rPr>
          <w:sz w:val="22"/>
          <w:szCs w:val="22"/>
        </w:rPr>
        <w:t>:</w:t>
      </w:r>
      <w:r w:rsidRPr="002C5E3D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бессрочная</w:t>
      </w:r>
    </w:p>
    <w:p w:rsidR="00B01A6B" w:rsidRDefault="00B01A6B" w:rsidP="008337C6">
      <w:pPr>
        <w:spacing w:before="120" w:after="120"/>
        <w:jc w:val="both"/>
        <w:rPr>
          <w:sz w:val="24"/>
          <w:szCs w:val="24"/>
        </w:rPr>
      </w:pPr>
    </w:p>
    <w:p w:rsidR="00B01A6B" w:rsidRPr="00281FE5" w:rsidRDefault="00B01A6B" w:rsidP="00A70788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Утверждены решением </w:t>
      </w:r>
      <w:r w:rsidRPr="00A40D96">
        <w:rPr>
          <w:sz w:val="24"/>
          <w:szCs w:val="24"/>
        </w:rPr>
        <w:t xml:space="preserve">Генерального директора </w:t>
      </w:r>
      <w:r>
        <w:rPr>
          <w:sz w:val="24"/>
          <w:szCs w:val="24"/>
        </w:rPr>
        <w:t>публичного акционерного о</w:t>
      </w:r>
      <w:r w:rsidRPr="00A40D96">
        <w:rPr>
          <w:sz w:val="24"/>
          <w:szCs w:val="24"/>
        </w:rPr>
        <w:t xml:space="preserve">бщества </w:t>
      </w:r>
      <w:r w:rsidRPr="00C620BE">
        <w:rPr>
          <w:sz w:val="24"/>
          <w:szCs w:val="24"/>
        </w:rPr>
        <w:t>«</w:t>
      </w:r>
      <w:r w:rsidRPr="00643AFE">
        <w:rPr>
          <w:sz w:val="24"/>
          <w:szCs w:val="24"/>
        </w:rPr>
        <w:t xml:space="preserve">Государственная транспортная лизинговая компания» об утверждении Условий выпуска биржевых облигаций в рамках Программы биржевых облигаций серии 001Р, принятым «10» января </w:t>
      </w:r>
      <w:smartTag w:uri="urn:schemas-microsoft-com:office:smarttags" w:element="metricconverter">
        <w:smartTagPr>
          <w:attr w:name="ProductID" w:val="2018 г"/>
        </w:smartTagPr>
        <w:r w:rsidRPr="00643AFE">
          <w:rPr>
            <w:sz w:val="24"/>
            <w:szCs w:val="24"/>
          </w:rPr>
          <w:t>2018 г</w:t>
        </w:r>
      </w:smartTag>
      <w:r w:rsidRPr="00643AFE">
        <w:rPr>
          <w:sz w:val="24"/>
          <w:szCs w:val="24"/>
        </w:rPr>
        <w:t xml:space="preserve">., Приказ от «10» января </w:t>
      </w:r>
      <w:smartTag w:uri="urn:schemas-microsoft-com:office:smarttags" w:element="metricconverter">
        <w:smartTagPr>
          <w:attr w:name="ProductID" w:val="2018 г"/>
        </w:smartTagPr>
        <w:r w:rsidRPr="00643AFE">
          <w:rPr>
            <w:sz w:val="24"/>
            <w:szCs w:val="24"/>
          </w:rPr>
          <w:t>2018 г</w:t>
        </w:r>
      </w:smartTag>
      <w:r w:rsidRPr="00643AFE">
        <w:rPr>
          <w:sz w:val="24"/>
          <w:szCs w:val="24"/>
        </w:rPr>
        <w:t xml:space="preserve">.  № </w:t>
      </w:r>
      <w:r w:rsidRPr="00281FE5">
        <w:rPr>
          <w:sz w:val="24"/>
          <w:szCs w:val="24"/>
        </w:rPr>
        <w:t>002</w:t>
      </w:r>
    </w:p>
    <w:p w:rsidR="00B01A6B" w:rsidRPr="00635201" w:rsidRDefault="00B01A6B" w:rsidP="00A70788">
      <w:pPr>
        <w:spacing w:before="120" w:after="120"/>
        <w:jc w:val="both"/>
        <w:rPr>
          <w:sz w:val="24"/>
          <w:szCs w:val="24"/>
        </w:rPr>
      </w:pPr>
    </w:p>
    <w:p w:rsidR="00B01A6B" w:rsidRDefault="00B01A6B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Pr="00C620BE">
        <w:rPr>
          <w:sz w:val="24"/>
          <w:szCs w:val="24"/>
        </w:rPr>
        <w:t>Распоряжения единственного акционера Публичного акционерного общества «Государственная транспортная лизинговая компания» об утверждении первой части решения о выпуске ценных бумаг (Программы биржевых облигаций серии 001Р)</w:t>
      </w:r>
      <w:r w:rsidRPr="00802871">
        <w:rPr>
          <w:sz w:val="24"/>
          <w:szCs w:val="24"/>
        </w:rPr>
        <w:t>, принятого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., </w:t>
      </w:r>
      <w:r>
        <w:rPr>
          <w:sz w:val="24"/>
          <w:szCs w:val="24"/>
        </w:rPr>
        <w:t>Распоряжение</w:t>
      </w:r>
      <w:r w:rsidRPr="00802871">
        <w:rPr>
          <w:sz w:val="24"/>
          <w:szCs w:val="24"/>
        </w:rPr>
        <w:t xml:space="preserve"> от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 № </w:t>
      </w:r>
      <w:r w:rsidRPr="00C620BE">
        <w:rPr>
          <w:sz w:val="24"/>
          <w:szCs w:val="24"/>
        </w:rPr>
        <w:t>МС-90-р</w:t>
      </w:r>
      <w:r w:rsidRPr="00802871">
        <w:rPr>
          <w:sz w:val="24"/>
          <w:szCs w:val="24"/>
        </w:rPr>
        <w:t xml:space="preserve">. </w:t>
      </w:r>
    </w:p>
    <w:p w:rsidR="00B01A6B" w:rsidRPr="00802871" w:rsidRDefault="00B01A6B" w:rsidP="008337C6">
      <w:pPr>
        <w:spacing w:before="120" w:after="120"/>
        <w:jc w:val="both"/>
        <w:rPr>
          <w:sz w:val="24"/>
          <w:szCs w:val="24"/>
        </w:rPr>
      </w:pPr>
    </w:p>
    <w:p w:rsidR="00B01A6B" w:rsidRPr="00802871" w:rsidRDefault="00B01A6B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t>Место нахождения эмитента и контактные телефоны:</w:t>
      </w:r>
    </w:p>
    <w:p w:rsidR="00B01A6B" w:rsidRPr="00C620BE" w:rsidRDefault="00B01A6B" w:rsidP="00A03FB4">
      <w:pPr>
        <w:jc w:val="both"/>
        <w:rPr>
          <w:b/>
          <w:i/>
          <w:sz w:val="24"/>
          <w:szCs w:val="24"/>
        </w:rPr>
      </w:pPr>
      <w:r w:rsidRPr="00C620BE">
        <w:rPr>
          <w:b/>
          <w:i/>
          <w:sz w:val="24"/>
          <w:szCs w:val="24"/>
        </w:rPr>
        <w:t>629008, Ямало-Ненецкий автономный округ, город Салехард, ул. Республики, дом 73, комната 100</w:t>
      </w:r>
    </w:p>
    <w:p w:rsidR="00B01A6B" w:rsidRPr="00802871" w:rsidRDefault="00B01A6B" w:rsidP="00A03FB4">
      <w:pPr>
        <w:jc w:val="both"/>
        <w:rPr>
          <w:sz w:val="24"/>
          <w:szCs w:val="24"/>
        </w:rPr>
      </w:pPr>
    </w:p>
    <w:p w:rsidR="00B01A6B" w:rsidRPr="00802871" w:rsidRDefault="00B01A6B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t xml:space="preserve">Телефон: </w:t>
      </w:r>
      <w:r w:rsidRPr="00C620BE">
        <w:rPr>
          <w:b/>
          <w:i/>
          <w:sz w:val="24"/>
          <w:szCs w:val="24"/>
        </w:rPr>
        <w:t>+7 (495) 2210012</w:t>
      </w:r>
    </w:p>
    <w:p w:rsidR="00B01A6B" w:rsidRPr="001B42CA" w:rsidRDefault="00B01A6B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B01A6B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1A6B" w:rsidRPr="00BD1FD2" w:rsidRDefault="00B01A6B"/>
        </w:tc>
      </w:tr>
      <w:tr w:rsidR="00B01A6B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01A6B" w:rsidRPr="00C620BE" w:rsidRDefault="00B01A6B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C620BE" w:rsidRDefault="00B01A6B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:rsidR="00B01A6B" w:rsidRPr="00C620BE" w:rsidRDefault="00B01A6B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C620BE">
              <w:rPr>
                <w:b/>
                <w:sz w:val="24"/>
                <w:szCs w:val="24"/>
              </w:rPr>
              <w:t>убличного акционерного общества</w:t>
            </w:r>
          </w:p>
          <w:p w:rsidR="00B01A6B" w:rsidRPr="00C620BE" w:rsidRDefault="00B01A6B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«Государственная транспортная</w:t>
            </w:r>
          </w:p>
          <w:p w:rsidR="00B01A6B" w:rsidRPr="00C620BE" w:rsidRDefault="00B01A6B" w:rsidP="00C620BE">
            <w:pPr>
              <w:rPr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лизинговая компания»</w:t>
            </w:r>
            <w:r w:rsidRPr="00C620BE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C620BE" w:rsidDel="00454242">
              <w:rPr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C620B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A6B" w:rsidRPr="00802871" w:rsidRDefault="00B01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802871" w:rsidRDefault="00B01A6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A6B" w:rsidRPr="00802871" w:rsidRDefault="00B01A6B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1A6B" w:rsidRPr="00802871" w:rsidRDefault="00B01A6B">
            <w:pPr>
              <w:rPr>
                <w:sz w:val="24"/>
                <w:szCs w:val="24"/>
              </w:rPr>
            </w:pPr>
          </w:p>
        </w:tc>
      </w:tr>
      <w:tr w:rsidR="00B01A6B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1A6B" w:rsidRPr="001B42CA" w:rsidRDefault="00B01A6B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A6B" w:rsidRPr="001B42CA" w:rsidRDefault="00B01A6B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01A6B" w:rsidRPr="001B42CA" w:rsidRDefault="00B01A6B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01A6B" w:rsidRPr="001B42CA" w:rsidRDefault="00B01A6B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01A6B" w:rsidRPr="001B42CA" w:rsidRDefault="00B01A6B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A6B" w:rsidRPr="001B42CA" w:rsidRDefault="00B01A6B"/>
        </w:tc>
      </w:tr>
      <w:tr w:rsidR="00B01A6B" w:rsidRPr="001B42CA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01A6B" w:rsidRPr="0007406D" w:rsidRDefault="00B01A6B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07406D" w:rsidRDefault="00B01A6B">
            <w:pPr>
              <w:jc w:val="right"/>
              <w:rPr>
                <w:sz w:val="24"/>
                <w:szCs w:val="24"/>
              </w:rPr>
            </w:pPr>
            <w:r w:rsidRPr="0007406D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A6B" w:rsidRPr="0007406D" w:rsidRDefault="00B01A6B" w:rsidP="000A4FF5">
            <w:pPr>
              <w:jc w:val="center"/>
              <w:rPr>
                <w:sz w:val="24"/>
                <w:szCs w:val="24"/>
                <w:lang w:val="en-US"/>
              </w:rPr>
            </w:pPr>
            <w:r w:rsidRPr="0007406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07406D" w:rsidRDefault="00B01A6B" w:rsidP="000A4FF5">
            <w:pPr>
              <w:rPr>
                <w:sz w:val="24"/>
                <w:szCs w:val="24"/>
              </w:rPr>
            </w:pPr>
            <w:r w:rsidRPr="0007406D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A6B" w:rsidRPr="0007406D" w:rsidRDefault="00B01A6B" w:rsidP="000A4FF5">
            <w:pPr>
              <w:jc w:val="center"/>
              <w:rPr>
                <w:sz w:val="22"/>
                <w:szCs w:val="22"/>
              </w:rPr>
            </w:pPr>
            <w:r w:rsidRPr="0007406D">
              <w:rPr>
                <w:sz w:val="22"/>
                <w:szCs w:val="22"/>
              </w:rPr>
              <w:t>января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635201" w:rsidRDefault="00B01A6B" w:rsidP="000A4FF5">
            <w:pPr>
              <w:jc w:val="right"/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A6B" w:rsidRPr="00635201" w:rsidRDefault="00B01A6B" w:rsidP="000A4FF5">
            <w:pPr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A6B" w:rsidRPr="001B42CA" w:rsidRDefault="00B01A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1A6B" w:rsidRPr="001B42CA" w:rsidRDefault="00B01A6B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B01A6B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BD1FD2" w:rsidRDefault="00B01A6B"/>
        </w:tc>
      </w:tr>
    </w:tbl>
    <w:p w:rsidR="00B01A6B" w:rsidRPr="001B42CA" w:rsidRDefault="00B01A6B">
      <w:pPr>
        <w:rPr>
          <w:sz w:val="22"/>
          <w:szCs w:val="22"/>
          <w:lang w:val="en-US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:rsidR="00B01A6B" w:rsidRDefault="00B01A6B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B01A6B" w:rsidRDefault="00B01A6B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B01A6B" w:rsidRPr="00BA3F0C" w:rsidRDefault="00B01A6B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B01A6B" w:rsidRDefault="00B01A6B" w:rsidP="00BA3F0C">
      <w:pPr>
        <w:adjustRightInd w:val="0"/>
        <w:ind w:firstLine="539"/>
        <w:jc w:val="both"/>
        <w:rPr>
          <w:sz w:val="22"/>
          <w:szCs w:val="22"/>
        </w:rPr>
      </w:pPr>
    </w:p>
    <w:p w:rsidR="00B01A6B" w:rsidRDefault="00B01A6B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>
        <w:rPr>
          <w:b/>
          <w:bCs/>
          <w:i/>
          <w:iCs/>
          <w:sz w:val="22"/>
          <w:szCs w:val="22"/>
          <w:lang w:eastAsia="en-US"/>
        </w:rPr>
        <w:t>.</w:t>
      </w:r>
    </w:p>
    <w:p w:rsidR="00B01A6B" w:rsidRPr="009E575A" w:rsidRDefault="00B01A6B" w:rsidP="00931549">
      <w:pPr>
        <w:ind w:firstLine="539"/>
        <w:jc w:val="both"/>
        <w:rPr>
          <w:sz w:val="22"/>
          <w:szCs w:val="22"/>
        </w:rPr>
      </w:pPr>
    </w:p>
    <w:p w:rsidR="00B01A6B" w:rsidRPr="00F645DC" w:rsidRDefault="00B01A6B" w:rsidP="00931549">
      <w:pPr>
        <w:ind w:firstLine="539"/>
        <w:jc w:val="both"/>
        <w:rPr>
          <w:b/>
          <w:i/>
          <w:color w:val="000000"/>
          <w:sz w:val="22"/>
          <w:szCs w:val="22"/>
        </w:rPr>
      </w:pPr>
      <w:r w:rsidRPr="00F645DC">
        <w:rPr>
          <w:color w:val="000000"/>
          <w:sz w:val="22"/>
          <w:szCs w:val="22"/>
        </w:rPr>
        <w:t xml:space="preserve">Серия: </w:t>
      </w:r>
      <w:r w:rsidRPr="00F645DC">
        <w:rPr>
          <w:b/>
          <w:bCs/>
          <w:i/>
          <w:iCs/>
          <w:color w:val="000000"/>
          <w:sz w:val="22"/>
          <w:szCs w:val="22"/>
        </w:rPr>
        <w:t>001Р-</w:t>
      </w:r>
      <w:r>
        <w:rPr>
          <w:b/>
          <w:bCs/>
          <w:i/>
          <w:iCs/>
          <w:color w:val="000000"/>
          <w:sz w:val="22"/>
          <w:szCs w:val="22"/>
        </w:rPr>
        <w:t>07</w:t>
      </w:r>
    </w:p>
    <w:p w:rsidR="00B01A6B" w:rsidRPr="009E575A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B01A6B" w:rsidRPr="009E575A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B01A6B" w:rsidRPr="009E575A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облигаций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- программа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</w:t>
      </w:r>
      <w:r>
        <w:rPr>
          <w:b/>
          <w:bCs/>
          <w:i/>
          <w:iCs/>
          <w:sz w:val="22"/>
          <w:szCs w:val="22"/>
          <w:lang w:val="en-US"/>
        </w:rPr>
        <w:t>P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23.08</w:t>
      </w:r>
      <w:r w:rsidRPr="009E575A">
        <w:rPr>
          <w:b/>
          <w:bCs/>
          <w:i/>
          <w:iCs/>
          <w:sz w:val="22"/>
          <w:szCs w:val="22"/>
        </w:rPr>
        <w:t>.2016, в рамках которой размещается настоящий выпуск Биржевых облигаций.</w:t>
      </w:r>
    </w:p>
    <w:p w:rsidR="00B01A6B" w:rsidRPr="009E575A" w:rsidRDefault="00B01A6B" w:rsidP="00E77C3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Условия выпуска – </w:t>
      </w:r>
      <w:r>
        <w:rPr>
          <w:b/>
          <w:bCs/>
          <w:i/>
          <w:iCs/>
          <w:sz w:val="22"/>
          <w:szCs w:val="22"/>
        </w:rPr>
        <w:t xml:space="preserve">настоящий </w:t>
      </w:r>
      <w:r w:rsidRPr="009E575A">
        <w:rPr>
          <w:b/>
          <w:bCs/>
          <w:i/>
          <w:iCs/>
          <w:sz w:val="22"/>
          <w:szCs w:val="22"/>
        </w:rPr>
        <w:t>документ</w:t>
      </w:r>
      <w:r w:rsidRPr="00E77C3C">
        <w:t xml:space="preserve"> </w:t>
      </w:r>
      <w:r w:rsidRPr="00E77C3C">
        <w:rPr>
          <w:b/>
          <w:i/>
        </w:rPr>
        <w:t>(У</w:t>
      </w:r>
      <w:r w:rsidRPr="00E77C3C">
        <w:rPr>
          <w:b/>
          <w:bCs/>
          <w:i/>
          <w:iCs/>
          <w:sz w:val="22"/>
          <w:szCs w:val="22"/>
        </w:rPr>
        <w:t>словия выпуска биржевых облигаций</w:t>
      </w:r>
      <w:r>
        <w:rPr>
          <w:b/>
          <w:bCs/>
          <w:i/>
          <w:iCs/>
          <w:sz w:val="22"/>
          <w:szCs w:val="22"/>
        </w:rPr>
        <w:t xml:space="preserve"> в</w:t>
      </w:r>
      <w:r w:rsidRPr="00E77C3C">
        <w:rPr>
          <w:b/>
          <w:bCs/>
          <w:i/>
          <w:iCs/>
          <w:sz w:val="22"/>
          <w:szCs w:val="22"/>
        </w:rPr>
        <w:t xml:space="preserve"> рамках программы биржевых облигаций</w:t>
      </w:r>
      <w:r>
        <w:rPr>
          <w:b/>
          <w:bCs/>
          <w:i/>
          <w:iCs/>
          <w:sz w:val="22"/>
          <w:szCs w:val="22"/>
        </w:rPr>
        <w:t>)</w:t>
      </w:r>
      <w:r w:rsidRPr="009E575A">
        <w:rPr>
          <w:b/>
          <w:bCs/>
          <w:i/>
          <w:iCs/>
          <w:sz w:val="22"/>
          <w:szCs w:val="22"/>
        </w:rPr>
        <w:t>, содержащий конкретные условия выпуска Биржевых облигаций, размещаемого в рамках Программы.</w:t>
      </w:r>
    </w:p>
    <w:p w:rsidR="00B01A6B" w:rsidRPr="009E575A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B01A6B" w:rsidRPr="009E575A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Эмитент – </w:t>
      </w:r>
      <w:r>
        <w:rPr>
          <w:b/>
          <w:bCs/>
          <w:i/>
          <w:iCs/>
          <w:sz w:val="22"/>
          <w:szCs w:val="22"/>
          <w:lang w:eastAsia="en-US"/>
        </w:rPr>
        <w:t>Публичное акционерное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77C3C">
        <w:rPr>
          <w:b/>
          <w:bCs/>
          <w:i/>
          <w:iCs/>
          <w:sz w:val="22"/>
          <w:szCs w:val="22"/>
          <w:lang w:eastAsia="en-US"/>
        </w:rPr>
        <w:t>общество «Государственная транспортная лизинговая компания»,  ПАО «ГТЛК».</w:t>
      </w:r>
    </w:p>
    <w:p w:rsidR="00B01A6B" w:rsidRPr="009E575A" w:rsidRDefault="00B01A6B" w:rsidP="00931549">
      <w:pPr>
        <w:adjustRightInd w:val="0"/>
        <w:ind w:firstLine="539"/>
        <w:jc w:val="both"/>
      </w:pPr>
    </w:p>
    <w:p w:rsidR="00B01A6B" w:rsidRPr="009E575A" w:rsidRDefault="00B01A6B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B01A6B" w:rsidRPr="009E575A" w:rsidRDefault="00B01A6B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B01A6B" w:rsidRPr="009E575A" w:rsidRDefault="00B01A6B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B01A6B" w:rsidRPr="009E575A" w:rsidRDefault="00B01A6B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>1 000 (Одна тысяча) российских рублей.</w:t>
      </w: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5. Количество облигаций выпуска (дополнительного выпуска)</w:t>
      </w:r>
    </w:p>
    <w:p w:rsidR="00B01A6B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>Количество размещаемых ценных бумаг выпуска</w:t>
      </w:r>
      <w:r>
        <w:rPr>
          <w:sz w:val="22"/>
          <w:szCs w:val="22"/>
        </w:rPr>
        <w:t xml:space="preserve">: </w:t>
      </w:r>
      <w:r w:rsidRPr="007C0AD1">
        <w:rPr>
          <w:b/>
          <w:bCs/>
          <w:i/>
          <w:iCs/>
          <w:sz w:val="22"/>
          <w:szCs w:val="22"/>
        </w:rPr>
        <w:t>10 000 000 (Десять миллионов)</w:t>
      </w:r>
      <w:r>
        <w:rPr>
          <w:b/>
          <w:bCs/>
          <w:i/>
          <w:sz w:val="22"/>
          <w:szCs w:val="22"/>
        </w:rPr>
        <w:t xml:space="preserve"> </w:t>
      </w:r>
      <w:r w:rsidRPr="007C0AD1">
        <w:rPr>
          <w:b/>
          <w:i/>
          <w:sz w:val="22"/>
          <w:szCs w:val="22"/>
        </w:rPr>
        <w:t>штук</w:t>
      </w:r>
    </w:p>
    <w:p w:rsidR="00B01A6B" w:rsidRPr="009E575A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77C3C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9E575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6. Общее количество облигаций данного выпуска, размещенных ранее</w:t>
      </w:r>
    </w:p>
    <w:p w:rsidR="00B01A6B" w:rsidRPr="001B42CA" w:rsidRDefault="00B01A6B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>
        <w:rPr>
          <w:sz w:val="22"/>
          <w:szCs w:val="22"/>
        </w:rPr>
        <w:t>облигаций</w:t>
      </w:r>
    </w:p>
    <w:p w:rsidR="00B01A6B" w:rsidRPr="00871804" w:rsidRDefault="00B01A6B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облигаций:</w:t>
      </w:r>
    </w:p>
    <w:p w:rsidR="00B01A6B" w:rsidRPr="00D875F2" w:rsidRDefault="00B01A6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>
        <w:rPr>
          <w:b/>
          <w:i/>
          <w:sz w:val="22"/>
          <w:szCs w:val="22"/>
        </w:rPr>
        <w:t xml:space="preserve"> не позднее, </w:t>
      </w:r>
      <w:r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B01A6B" w:rsidRPr="00D875F2" w:rsidRDefault="00B01A6B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размещения Биржевых облигаций устанавливается Эмитентом в соответствии с действующим </w:t>
      </w:r>
      <w:r w:rsidRPr="00D875F2">
        <w:rPr>
          <w:b/>
          <w:i/>
          <w:sz w:val="22"/>
          <w:szCs w:val="22"/>
          <w:lang w:eastAsia="en-US"/>
        </w:rPr>
        <w:lastRenderedPageBreak/>
        <w:t>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:rsidR="00B01A6B" w:rsidRPr="00871804" w:rsidRDefault="00B01A6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B01A6B" w:rsidRPr="00871804" w:rsidRDefault="00B01A6B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а) 2-й (Второй) рабочий день с даты</w:t>
      </w:r>
      <w:r w:rsidRPr="001B42CA">
        <w:rPr>
          <w:b/>
          <w:i/>
          <w:sz w:val="22"/>
          <w:szCs w:val="22"/>
        </w:rPr>
        <w:t xml:space="preserve"> начала размещения Биржевых облигаций;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B01A6B" w:rsidRPr="001B42CA" w:rsidRDefault="00B01A6B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>
        <w:rPr>
          <w:sz w:val="22"/>
          <w:szCs w:val="22"/>
        </w:rPr>
        <w:t>облигаций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:rsidR="00B01A6B" w:rsidRPr="001B42CA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Pr="00C347D9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:rsidR="00B01A6B" w:rsidRPr="001B42CA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:rsidR="00B01A6B" w:rsidRPr="00D7014E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B01A6B" w:rsidRPr="00A1391A" w:rsidRDefault="00B01A6B" w:rsidP="00A1391A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1391A">
        <w:rPr>
          <w:b/>
          <w:i/>
          <w:sz w:val="22"/>
          <w:szCs w:val="22"/>
        </w:rPr>
        <w:t xml:space="preserve">Информация об организации, которая оказывает Эмитенту услуги по организации размещения Биржевых облигаций </w:t>
      </w:r>
      <w:r w:rsidRPr="00A1391A">
        <w:rPr>
          <w:b/>
          <w:bCs/>
          <w:i/>
          <w:iCs/>
          <w:sz w:val="22"/>
          <w:szCs w:val="22"/>
        </w:rPr>
        <w:t>(далее – Организатор) и по размещению Биржевых облигаций (далее – Андеррайтер):</w:t>
      </w:r>
    </w:p>
    <w:p w:rsidR="00B01A6B" w:rsidRPr="008D2C4E" w:rsidRDefault="00B01A6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:rsidR="00B01A6B" w:rsidRPr="00A5192B" w:rsidRDefault="00B01A6B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</w:t>
      </w:r>
      <w:r w:rsidRPr="00A5192B">
        <w:rPr>
          <w:sz w:val="22"/>
          <w:szCs w:val="22"/>
        </w:rPr>
        <w:t xml:space="preserve">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B01A6B" w:rsidRPr="00A5192B" w:rsidRDefault="00B01A6B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A5192B">
        <w:rPr>
          <w:sz w:val="22"/>
          <w:szCs w:val="22"/>
        </w:rPr>
        <w:t xml:space="preserve">Сокращенное фирменное 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B01A6B" w:rsidRPr="00A5192B" w:rsidRDefault="00B01A6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ИНН: </w:t>
      </w:r>
      <w:r w:rsidRPr="00A5192B">
        <w:rPr>
          <w:b/>
          <w:i/>
          <w:sz w:val="22"/>
          <w:szCs w:val="22"/>
        </w:rPr>
        <w:t>7744001497</w:t>
      </w:r>
    </w:p>
    <w:p w:rsidR="00B01A6B" w:rsidRPr="00A5192B" w:rsidRDefault="00B01A6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bCs/>
          <w:sz w:val="22"/>
          <w:szCs w:val="22"/>
        </w:rPr>
        <w:t xml:space="preserve">ОГРН: </w:t>
      </w:r>
      <w:r w:rsidRPr="00A5192B">
        <w:rPr>
          <w:b/>
          <w:bCs/>
          <w:i/>
          <w:sz w:val="22"/>
          <w:szCs w:val="22"/>
        </w:rPr>
        <w:t>1027700167110</w:t>
      </w:r>
    </w:p>
    <w:p w:rsidR="00B01A6B" w:rsidRPr="00A5192B" w:rsidRDefault="00B01A6B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Место нахождения: </w:t>
      </w:r>
      <w:r w:rsidRPr="00A5192B">
        <w:rPr>
          <w:b/>
          <w:i/>
          <w:sz w:val="22"/>
          <w:szCs w:val="22"/>
        </w:rPr>
        <w:t>г. Москва</w:t>
      </w:r>
    </w:p>
    <w:p w:rsidR="00B01A6B" w:rsidRPr="00A5192B" w:rsidRDefault="00B01A6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05066, г"/>
        </w:smartTagPr>
        <w:r w:rsidRPr="00A5192B">
          <w:rPr>
            <w:b/>
            <w:i/>
            <w:sz w:val="22"/>
            <w:szCs w:val="22"/>
          </w:rPr>
          <w:t>117420, г</w:t>
        </w:r>
      </w:smartTag>
      <w:r w:rsidRPr="00A5192B">
        <w:rPr>
          <w:b/>
          <w:i/>
          <w:sz w:val="22"/>
          <w:szCs w:val="22"/>
        </w:rPr>
        <w:t>. Москва, ул. Наметкина, дом 16, корпус 1</w:t>
      </w:r>
    </w:p>
    <w:p w:rsidR="00B01A6B" w:rsidRPr="00A5192B" w:rsidRDefault="00B01A6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Номер лицензии: </w:t>
      </w:r>
      <w:r w:rsidRPr="00A5192B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B01A6B" w:rsidRPr="00A5192B" w:rsidRDefault="00B01A6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Дата выдачи: </w:t>
      </w:r>
      <w:r w:rsidRPr="00A5192B">
        <w:rPr>
          <w:b/>
          <w:i/>
          <w:sz w:val="22"/>
          <w:szCs w:val="22"/>
        </w:rPr>
        <w:t>27.12.2000</w:t>
      </w:r>
    </w:p>
    <w:p w:rsidR="00B01A6B" w:rsidRPr="00F645DC" w:rsidRDefault="00B01A6B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  <w:r w:rsidRPr="00F645DC">
        <w:rPr>
          <w:color w:val="000000"/>
          <w:sz w:val="22"/>
          <w:szCs w:val="22"/>
        </w:rPr>
        <w:t xml:space="preserve">Срок действия: </w:t>
      </w:r>
      <w:r w:rsidRPr="00F645DC">
        <w:rPr>
          <w:b/>
          <w:i/>
          <w:color w:val="000000"/>
          <w:sz w:val="22"/>
          <w:szCs w:val="22"/>
        </w:rPr>
        <w:t>без ограничения срока действия</w:t>
      </w:r>
    </w:p>
    <w:p w:rsidR="00B01A6B" w:rsidRPr="00F645DC" w:rsidRDefault="00B01A6B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  <w:r w:rsidRPr="00F645DC">
        <w:rPr>
          <w:color w:val="000000"/>
          <w:sz w:val="22"/>
          <w:szCs w:val="22"/>
        </w:rPr>
        <w:t xml:space="preserve">Орган, выдавший указанную лицензию: </w:t>
      </w:r>
      <w:r w:rsidRPr="00F645DC">
        <w:rPr>
          <w:b/>
          <w:i/>
          <w:color w:val="000000"/>
          <w:sz w:val="22"/>
          <w:szCs w:val="22"/>
        </w:rPr>
        <w:t>ФКЦБ России</w:t>
      </w:r>
    </w:p>
    <w:p w:rsidR="00B01A6B" w:rsidRDefault="00B01A6B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:rsidR="00B01A6B" w:rsidRPr="00A1391A" w:rsidRDefault="00B01A6B" w:rsidP="00A1391A">
      <w:pPr>
        <w:widowControl w:val="0"/>
        <w:autoSpaceDE/>
        <w:autoSpaceDN/>
        <w:ind w:right="115" w:firstLine="567"/>
        <w:jc w:val="both"/>
        <w:rPr>
          <w:b/>
          <w:bCs/>
          <w:i/>
          <w:color w:val="000000"/>
          <w:sz w:val="22"/>
          <w:szCs w:val="22"/>
          <w:lang w:eastAsia="en-US"/>
        </w:rPr>
      </w:pPr>
      <w:r w:rsidRPr="00A1391A">
        <w:rPr>
          <w:b/>
          <w:bCs/>
          <w:i/>
          <w:color w:val="000000"/>
          <w:spacing w:val="-2"/>
          <w:sz w:val="22"/>
          <w:szCs w:val="22"/>
          <w:lang w:eastAsia="en-US"/>
        </w:rPr>
        <w:t>О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сновные</w:t>
      </w:r>
      <w:r w:rsidRPr="00A1391A">
        <w:rPr>
          <w:b/>
          <w:bCs/>
          <w:i/>
          <w:color w:val="000000"/>
          <w:spacing w:val="55"/>
          <w:sz w:val="22"/>
          <w:szCs w:val="22"/>
          <w:lang w:eastAsia="en-US"/>
        </w:rPr>
        <w:t xml:space="preserve"> 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ф</w:t>
      </w:r>
      <w:r w:rsidRPr="00A1391A">
        <w:rPr>
          <w:b/>
          <w:bCs/>
          <w:i/>
          <w:color w:val="000000"/>
          <w:spacing w:val="-2"/>
          <w:sz w:val="22"/>
          <w:szCs w:val="22"/>
          <w:lang w:eastAsia="en-US"/>
        </w:rPr>
        <w:t>у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нкц</w:t>
      </w:r>
      <w:r w:rsidRPr="00A1391A">
        <w:rPr>
          <w:b/>
          <w:bCs/>
          <w:i/>
          <w:color w:val="000000"/>
          <w:spacing w:val="-1"/>
          <w:sz w:val="22"/>
          <w:szCs w:val="22"/>
          <w:lang w:eastAsia="en-US"/>
        </w:rPr>
        <w:t>и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и</w:t>
      </w:r>
      <w:r w:rsidRPr="00A1391A">
        <w:rPr>
          <w:b/>
          <w:bCs/>
          <w:i/>
          <w:color w:val="000000"/>
          <w:spacing w:val="54"/>
          <w:sz w:val="22"/>
          <w:szCs w:val="22"/>
          <w:lang w:eastAsia="en-US"/>
        </w:rPr>
        <w:t xml:space="preserve"> 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Организатора и Андеррайтера пр</w:t>
      </w:r>
      <w:r w:rsidRPr="00A1391A">
        <w:rPr>
          <w:b/>
          <w:bCs/>
          <w:i/>
          <w:color w:val="000000"/>
          <w:spacing w:val="-1"/>
          <w:sz w:val="22"/>
          <w:szCs w:val="22"/>
          <w:lang w:eastAsia="en-US"/>
        </w:rPr>
        <w:t>и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в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>е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де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>н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ы в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 xml:space="preserve"> 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п. 8.3</w:t>
      </w:r>
      <w:r w:rsidRPr="00A1391A">
        <w:rPr>
          <w:b/>
          <w:bCs/>
          <w:i/>
          <w:color w:val="000000"/>
          <w:spacing w:val="-2"/>
          <w:sz w:val="22"/>
          <w:szCs w:val="22"/>
          <w:lang w:eastAsia="en-US"/>
        </w:rPr>
        <w:t xml:space="preserve"> 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П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>р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ограм</w:t>
      </w:r>
      <w:r w:rsidRPr="00A1391A">
        <w:rPr>
          <w:b/>
          <w:bCs/>
          <w:i/>
          <w:color w:val="000000"/>
          <w:spacing w:val="-3"/>
          <w:sz w:val="22"/>
          <w:szCs w:val="22"/>
          <w:lang w:eastAsia="en-US"/>
        </w:rPr>
        <w:t>м</w:t>
      </w:r>
      <w:r w:rsidRPr="00A1391A">
        <w:rPr>
          <w:b/>
          <w:bCs/>
          <w:i/>
          <w:color w:val="000000"/>
          <w:sz w:val="22"/>
          <w:szCs w:val="22"/>
          <w:lang w:eastAsia="en-US"/>
        </w:rPr>
        <w:t>ы.</w:t>
      </w:r>
    </w:p>
    <w:p w:rsidR="00B01A6B" w:rsidRDefault="00B01A6B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:rsidR="00B01A6B" w:rsidRPr="00B35D6F" w:rsidRDefault="00B01A6B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</w:t>
      </w:r>
      <w:r w:rsidRPr="00B35D6F">
        <w:rPr>
          <w:b/>
          <w:b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и организации размещения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такая обязанность отсутствует.</w:t>
      </w:r>
    </w:p>
    <w:p w:rsidR="00B01A6B" w:rsidRPr="00B35D6F" w:rsidRDefault="00B01A6B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 xml:space="preserve">, обязанность, связанная с поддержанием 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:rsidR="00B01A6B" w:rsidRPr="00B35D6F" w:rsidRDefault="00B01A6B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lastRenderedPageBreak/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>,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:rsidR="00B01A6B" w:rsidRDefault="00B01A6B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F610ED">
        <w:rPr>
          <w:b/>
          <w:bCs/>
          <w:i/>
          <w:iCs/>
          <w:sz w:val="22"/>
          <w:szCs w:val="22"/>
        </w:rPr>
        <w:t>размер вознаграждения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F610ED">
        <w:rPr>
          <w:b/>
          <w:bCs/>
          <w:i/>
          <w:iCs/>
          <w:sz w:val="22"/>
          <w:szCs w:val="22"/>
        </w:rPr>
        <w:t xml:space="preserve"> услуги по размещению и организации размещения ценных бумаг, не превысит 1% (Одного процента) от номинальной стоимости выпуска Биржевых облигаций.</w:t>
      </w:r>
    </w:p>
    <w:p w:rsidR="00B01A6B" w:rsidRPr="00B35D6F" w:rsidRDefault="00B01A6B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B35D6F">
        <w:rPr>
          <w:b/>
          <w:i/>
          <w:iCs/>
          <w:sz w:val="22"/>
          <w:szCs w:val="22"/>
        </w:rPr>
        <w:t xml:space="preserve">В связи с тем, что обязанность, связанная с поддержанием цен на </w:t>
      </w:r>
      <w:r>
        <w:rPr>
          <w:b/>
          <w:i/>
          <w:iCs/>
          <w:sz w:val="22"/>
          <w:szCs w:val="22"/>
        </w:rPr>
        <w:t>Биржевых облигаций</w:t>
      </w:r>
      <w:r w:rsidRPr="00B35D6F">
        <w:rPr>
          <w:b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в том числе оказание услуг маркет-мейкера, не установлена, вознаграждение за подобные услуги не выплачивается.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>
        <w:rPr>
          <w:sz w:val="22"/>
          <w:szCs w:val="22"/>
        </w:rPr>
        <w:t>биржевых облигаций</w:t>
      </w:r>
    </w:p>
    <w:p w:rsidR="00B01A6B" w:rsidRPr="0049586C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:rsidR="00B01A6B" w:rsidRPr="0049586C" w:rsidRDefault="00B01A6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B01A6B" w:rsidRPr="0049586C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>
        <w:rPr>
          <w:sz w:val="22"/>
          <w:szCs w:val="22"/>
        </w:rPr>
        <w:t>биржевых облигаций</w:t>
      </w:r>
    </w:p>
    <w:p w:rsidR="00B01A6B" w:rsidRDefault="00B01A6B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B01A6B" w:rsidRDefault="00B01A6B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sz w:val="22"/>
          <w:szCs w:val="22"/>
          <w:u w:val="single"/>
        </w:rPr>
        <w:t>рублях Российской Федерации.</w:t>
      </w:r>
    </w:p>
    <w:p w:rsidR="00B01A6B" w:rsidRPr="00312EAF" w:rsidRDefault="00B01A6B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B01A6B" w:rsidRPr="008D2C4E" w:rsidRDefault="00B01A6B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z w:val="22"/>
          <w:szCs w:val="22"/>
          <w:lang w:eastAsia="en-US"/>
        </w:rPr>
        <w:t>Рек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з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т</w:t>
      </w:r>
      <w:r w:rsidRPr="008D2C4E">
        <w:rPr>
          <w:sz w:val="22"/>
          <w:szCs w:val="22"/>
          <w:lang w:eastAsia="en-US"/>
        </w:rPr>
        <w:t>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счета</w:t>
      </w:r>
      <w:r>
        <w:rPr>
          <w:sz w:val="22"/>
          <w:szCs w:val="22"/>
          <w:lang w:eastAsia="en-US"/>
        </w:rPr>
        <w:t xml:space="preserve"> Андеррайтера</w:t>
      </w:r>
      <w:r w:rsidRPr="008D2C4E">
        <w:rPr>
          <w:sz w:val="22"/>
          <w:szCs w:val="22"/>
          <w:lang w:eastAsia="en-US"/>
        </w:rPr>
        <w:t>,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на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pacing w:val="-2"/>
          <w:sz w:val="22"/>
          <w:szCs w:val="22"/>
          <w:lang w:eastAsia="en-US"/>
        </w:rPr>
        <w:t>к</w:t>
      </w:r>
      <w:r w:rsidRPr="008D2C4E">
        <w:rPr>
          <w:sz w:val="22"/>
          <w:szCs w:val="22"/>
          <w:lang w:eastAsia="en-US"/>
        </w:rPr>
        <w:t>от</w:t>
      </w:r>
      <w:r w:rsidRPr="008D2C4E">
        <w:rPr>
          <w:spacing w:val="-3"/>
          <w:sz w:val="22"/>
          <w:szCs w:val="22"/>
          <w:lang w:eastAsia="en-US"/>
        </w:rPr>
        <w:t>о</w:t>
      </w:r>
      <w:r w:rsidRPr="008D2C4E">
        <w:rPr>
          <w:sz w:val="22"/>
          <w:szCs w:val="22"/>
          <w:lang w:eastAsia="en-US"/>
        </w:rPr>
        <w:t>рый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до</w:t>
      </w:r>
      <w:r w:rsidRPr="008D2C4E">
        <w:rPr>
          <w:spacing w:val="-2"/>
          <w:sz w:val="22"/>
          <w:szCs w:val="22"/>
          <w:lang w:eastAsia="en-US"/>
        </w:rPr>
        <w:t>л</w:t>
      </w:r>
      <w:r w:rsidRPr="008D2C4E">
        <w:rPr>
          <w:sz w:val="22"/>
          <w:szCs w:val="22"/>
          <w:lang w:eastAsia="en-US"/>
        </w:rPr>
        <w:t>жны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пе</w:t>
      </w:r>
      <w:r w:rsidRPr="008D2C4E">
        <w:rPr>
          <w:spacing w:val="-3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еч</w:t>
      </w:r>
      <w:r w:rsidRPr="008D2C4E">
        <w:rPr>
          <w:spacing w:val="1"/>
          <w:sz w:val="22"/>
          <w:szCs w:val="22"/>
          <w:lang w:eastAsia="en-US"/>
        </w:rPr>
        <w:t>и</w:t>
      </w:r>
      <w:r w:rsidRPr="008D2C4E">
        <w:rPr>
          <w:sz w:val="22"/>
          <w:szCs w:val="22"/>
          <w:lang w:eastAsia="en-US"/>
        </w:rPr>
        <w:t>сля</w:t>
      </w:r>
      <w:r w:rsidRPr="008D2C4E">
        <w:rPr>
          <w:spacing w:val="-1"/>
          <w:sz w:val="22"/>
          <w:szCs w:val="22"/>
          <w:lang w:eastAsia="en-US"/>
        </w:rPr>
        <w:t>т</w:t>
      </w:r>
      <w:r w:rsidRPr="008D2C4E">
        <w:rPr>
          <w:spacing w:val="-3"/>
          <w:sz w:val="22"/>
          <w:szCs w:val="22"/>
          <w:lang w:eastAsia="en-US"/>
        </w:rPr>
        <w:t>ь</w:t>
      </w:r>
      <w:r w:rsidRPr="008D2C4E">
        <w:rPr>
          <w:sz w:val="22"/>
          <w:szCs w:val="22"/>
          <w:lang w:eastAsia="en-US"/>
        </w:rPr>
        <w:t>ся</w:t>
      </w:r>
      <w:r w:rsidRPr="008D2C4E">
        <w:rPr>
          <w:spacing w:val="30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ден</w:t>
      </w:r>
      <w:r w:rsidRPr="008D2C4E">
        <w:rPr>
          <w:spacing w:val="-3"/>
          <w:sz w:val="22"/>
          <w:szCs w:val="22"/>
          <w:lang w:eastAsia="en-US"/>
        </w:rPr>
        <w:t>е</w:t>
      </w:r>
      <w:r w:rsidRPr="008D2C4E">
        <w:rPr>
          <w:sz w:val="22"/>
          <w:szCs w:val="22"/>
          <w:lang w:eastAsia="en-US"/>
        </w:rPr>
        <w:t>жные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</w:t>
      </w:r>
      <w:r w:rsidRPr="008D2C4E">
        <w:rPr>
          <w:spacing w:val="-2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едст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в</w:t>
      </w:r>
      <w:r w:rsidRPr="008D2C4E">
        <w:rPr>
          <w:spacing w:val="27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оплату</w:t>
      </w:r>
      <w:r w:rsidRPr="008D2C4E">
        <w:rPr>
          <w:spacing w:val="28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це</w:t>
      </w:r>
      <w:r w:rsidRPr="008D2C4E">
        <w:rPr>
          <w:spacing w:val="-1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ных б</w:t>
      </w:r>
      <w:r w:rsidRPr="008D2C4E">
        <w:rPr>
          <w:spacing w:val="-2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 xml:space="preserve">маг 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ып</w:t>
      </w:r>
      <w:r w:rsidRPr="008D2C4E">
        <w:rPr>
          <w:spacing w:val="-3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>ска:</w:t>
      </w:r>
    </w:p>
    <w:p w:rsidR="00B01A6B" w:rsidRPr="008D2C4E" w:rsidRDefault="00B01A6B" w:rsidP="008D2C4E">
      <w:pPr>
        <w:autoSpaceDE/>
        <w:autoSpaceDN/>
        <w:adjustRightInd w:val="0"/>
        <w:ind w:firstLine="567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наименование: </w:t>
      </w:r>
      <w:r w:rsidRPr="008D2C4E">
        <w:rPr>
          <w:b/>
          <w:i/>
          <w:sz w:val="22"/>
          <w:szCs w:val="22"/>
        </w:rPr>
        <w:t>«Газпромбанк» (Акционерное общество)</w:t>
      </w:r>
    </w:p>
    <w:p w:rsidR="00B01A6B" w:rsidRPr="008D2C4E" w:rsidRDefault="00B01A6B" w:rsidP="008D2C4E">
      <w:pPr>
        <w:autoSpaceDE/>
        <w:autoSpaceDN/>
        <w:adjustRightInd w:val="0"/>
        <w:ind w:firstLine="567"/>
        <w:jc w:val="both"/>
        <w:rPr>
          <w:i/>
          <w:sz w:val="22"/>
          <w:szCs w:val="22"/>
        </w:rPr>
      </w:pPr>
      <w:r w:rsidRPr="008D2C4E">
        <w:rPr>
          <w:sz w:val="22"/>
          <w:szCs w:val="22"/>
        </w:rPr>
        <w:t xml:space="preserve">Сокращенное фирменное наименование: </w:t>
      </w:r>
      <w:r w:rsidRPr="008D2C4E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B01A6B" w:rsidRPr="008D2C4E" w:rsidRDefault="00B01A6B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pacing w:val="-2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омер счет</w:t>
      </w:r>
      <w:r w:rsidRPr="008D2C4E">
        <w:rPr>
          <w:spacing w:val="-3"/>
          <w:sz w:val="22"/>
          <w:szCs w:val="22"/>
          <w:lang w:eastAsia="en-US"/>
        </w:rPr>
        <w:t>а</w:t>
      </w:r>
      <w:r w:rsidRPr="008D2C4E">
        <w:rPr>
          <w:sz w:val="22"/>
          <w:szCs w:val="22"/>
          <w:lang w:eastAsia="en-US"/>
        </w:rPr>
        <w:t>:</w:t>
      </w:r>
      <w:r w:rsidRPr="008D2C4E">
        <w:rPr>
          <w:spacing w:val="1"/>
          <w:sz w:val="22"/>
          <w:szCs w:val="22"/>
          <w:lang w:eastAsia="en-US"/>
        </w:rPr>
        <w:t xml:space="preserve"> </w:t>
      </w:r>
      <w:r w:rsidRPr="008D2C4E">
        <w:rPr>
          <w:b/>
          <w:i/>
          <w:spacing w:val="1"/>
          <w:sz w:val="22"/>
          <w:szCs w:val="22"/>
          <w:lang w:eastAsia="en-US"/>
        </w:rPr>
        <w:t>30411810600000000123</w:t>
      </w:r>
    </w:p>
    <w:p w:rsidR="00B01A6B" w:rsidRPr="002D5028" w:rsidRDefault="00B01A6B" w:rsidP="00931499">
      <w:pPr>
        <w:adjustRightInd w:val="0"/>
        <w:ind w:firstLine="567"/>
        <w:jc w:val="both"/>
        <w:rPr>
          <w:sz w:val="22"/>
          <w:szCs w:val="22"/>
        </w:rPr>
      </w:pPr>
      <w:r w:rsidRPr="002D5028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2D5028">
        <w:rPr>
          <w:sz w:val="22"/>
          <w:szCs w:val="22"/>
          <w:lang w:eastAsia="en-US"/>
        </w:rPr>
        <w:t xml:space="preserve"> </w:t>
      </w:r>
      <w:r w:rsidRPr="002D5028">
        <w:rPr>
          <w:b/>
          <w:i/>
          <w:sz w:val="22"/>
          <w:szCs w:val="22"/>
        </w:rPr>
        <w:t>7744001497</w:t>
      </w:r>
    </w:p>
    <w:p w:rsidR="00B01A6B" w:rsidRPr="002D5028" w:rsidRDefault="00B01A6B" w:rsidP="00931499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2D5028">
        <w:rPr>
          <w:spacing w:val="-1"/>
          <w:sz w:val="22"/>
          <w:szCs w:val="22"/>
          <w:lang w:eastAsia="en-US"/>
        </w:rPr>
        <w:t>К</w:t>
      </w:r>
      <w:r w:rsidRPr="002D5028">
        <w:rPr>
          <w:spacing w:val="-2"/>
          <w:sz w:val="22"/>
          <w:szCs w:val="22"/>
          <w:lang w:eastAsia="en-US"/>
        </w:rPr>
        <w:t>П</w:t>
      </w:r>
      <w:r w:rsidRPr="002D5028">
        <w:rPr>
          <w:sz w:val="22"/>
          <w:szCs w:val="22"/>
          <w:lang w:eastAsia="en-US"/>
        </w:rPr>
        <w:t>П</w:t>
      </w:r>
      <w:r w:rsidRPr="002D5028">
        <w:rPr>
          <w:spacing w:val="-1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пол</w:t>
      </w:r>
      <w:r w:rsidRPr="002D5028">
        <w:rPr>
          <w:spacing w:val="-3"/>
          <w:sz w:val="22"/>
          <w:szCs w:val="22"/>
          <w:lang w:eastAsia="en-US"/>
        </w:rPr>
        <w:t>у</w:t>
      </w:r>
      <w:r w:rsidRPr="002D5028">
        <w:rPr>
          <w:spacing w:val="-1"/>
          <w:sz w:val="22"/>
          <w:szCs w:val="22"/>
          <w:lang w:eastAsia="en-US"/>
        </w:rPr>
        <w:t>ч</w:t>
      </w:r>
      <w:r w:rsidRPr="002D5028">
        <w:rPr>
          <w:sz w:val="22"/>
          <w:szCs w:val="22"/>
          <w:lang w:eastAsia="en-US"/>
        </w:rPr>
        <w:t>ателя средст</w:t>
      </w:r>
      <w:r w:rsidRPr="002D5028">
        <w:rPr>
          <w:spacing w:val="-2"/>
          <w:sz w:val="22"/>
          <w:szCs w:val="22"/>
          <w:lang w:eastAsia="en-US"/>
        </w:rPr>
        <w:t>в</w:t>
      </w:r>
      <w:r w:rsidRPr="002D5028">
        <w:rPr>
          <w:sz w:val="22"/>
          <w:szCs w:val="22"/>
          <w:lang w:eastAsia="en-US"/>
        </w:rPr>
        <w:t>,</w:t>
      </w:r>
      <w:r w:rsidRPr="002D5028">
        <w:rPr>
          <w:spacing w:val="-3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пост</w:t>
      </w:r>
      <w:r w:rsidRPr="002D5028">
        <w:rPr>
          <w:spacing w:val="-4"/>
          <w:sz w:val="22"/>
          <w:szCs w:val="22"/>
          <w:lang w:eastAsia="en-US"/>
        </w:rPr>
        <w:t>у</w:t>
      </w:r>
      <w:r w:rsidRPr="002D5028">
        <w:rPr>
          <w:sz w:val="22"/>
          <w:szCs w:val="22"/>
          <w:lang w:eastAsia="en-US"/>
        </w:rPr>
        <w:t>пающих в</w:t>
      </w:r>
      <w:r w:rsidRPr="002D5028">
        <w:rPr>
          <w:spacing w:val="-2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оплату</w:t>
      </w:r>
      <w:r w:rsidRPr="002D5028">
        <w:rPr>
          <w:spacing w:val="-3"/>
          <w:sz w:val="22"/>
          <w:szCs w:val="22"/>
          <w:lang w:eastAsia="en-US"/>
        </w:rPr>
        <w:t xml:space="preserve"> ц</w:t>
      </w:r>
      <w:r w:rsidRPr="002D5028">
        <w:rPr>
          <w:sz w:val="22"/>
          <w:szCs w:val="22"/>
          <w:lang w:eastAsia="en-US"/>
        </w:rPr>
        <w:t>ен</w:t>
      </w:r>
      <w:r w:rsidRPr="002D5028">
        <w:rPr>
          <w:spacing w:val="-1"/>
          <w:sz w:val="22"/>
          <w:szCs w:val="22"/>
          <w:lang w:eastAsia="en-US"/>
        </w:rPr>
        <w:t>н</w:t>
      </w:r>
      <w:r w:rsidRPr="002D5028">
        <w:rPr>
          <w:sz w:val="22"/>
          <w:szCs w:val="22"/>
          <w:lang w:eastAsia="en-US"/>
        </w:rPr>
        <w:t>ых б</w:t>
      </w:r>
      <w:r w:rsidRPr="002D5028">
        <w:rPr>
          <w:spacing w:val="-3"/>
          <w:sz w:val="22"/>
          <w:szCs w:val="22"/>
          <w:lang w:eastAsia="en-US"/>
        </w:rPr>
        <w:t>у</w:t>
      </w:r>
      <w:r w:rsidRPr="002D5028">
        <w:rPr>
          <w:sz w:val="22"/>
          <w:szCs w:val="22"/>
          <w:lang w:eastAsia="en-US"/>
        </w:rPr>
        <w:t>ма</w:t>
      </w:r>
      <w:r w:rsidRPr="002D5028">
        <w:rPr>
          <w:spacing w:val="-1"/>
          <w:sz w:val="22"/>
          <w:szCs w:val="22"/>
          <w:lang w:eastAsia="en-US"/>
        </w:rPr>
        <w:t>г</w:t>
      </w:r>
      <w:r w:rsidRPr="002D5028">
        <w:rPr>
          <w:sz w:val="22"/>
          <w:szCs w:val="22"/>
          <w:lang w:eastAsia="en-US"/>
        </w:rPr>
        <w:t>:</w:t>
      </w:r>
      <w:r w:rsidRPr="002D5028">
        <w:rPr>
          <w:spacing w:val="1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997950001</w:t>
      </w:r>
    </w:p>
    <w:p w:rsidR="00B01A6B" w:rsidRPr="000B5BC0" w:rsidRDefault="00B01A6B" w:rsidP="000B5BC0">
      <w:pPr>
        <w:ind w:firstLine="567"/>
        <w:jc w:val="both"/>
        <w:rPr>
          <w:b/>
          <w:i/>
          <w:sz w:val="22"/>
          <w:szCs w:val="22"/>
        </w:rPr>
      </w:pPr>
    </w:p>
    <w:p w:rsidR="00B01A6B" w:rsidRPr="00080570" w:rsidRDefault="00B01A6B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:rsidR="00B01A6B" w:rsidRPr="00080570" w:rsidRDefault="00B01A6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:rsidR="00B01A6B" w:rsidRPr="00080570" w:rsidRDefault="00B01A6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:rsidR="00B01A6B" w:rsidRPr="00080570" w:rsidRDefault="00B01A6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:rsidR="00B01A6B" w:rsidRDefault="00B01A6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r w:rsidRPr="00080570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B01A6B" w:rsidRPr="00080570" w:rsidRDefault="00B01A6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:rsidR="00B01A6B" w:rsidRPr="00080570" w:rsidRDefault="00B01A6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>
        <w:rPr>
          <w:b/>
          <w:bCs/>
          <w:i/>
          <w:iCs/>
          <w:sz w:val="22"/>
          <w:szCs w:val="22"/>
        </w:rPr>
        <w:t>044525505</w:t>
      </w:r>
    </w:p>
    <w:p w:rsidR="00B01A6B" w:rsidRPr="009E54AE" w:rsidRDefault="00B01A6B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9E54AE">
        <w:rPr>
          <w:b/>
          <w:bCs/>
          <w:i/>
          <w:iCs/>
          <w:sz w:val="22"/>
          <w:szCs w:val="22"/>
        </w:rPr>
        <w:t>770101001</w:t>
      </w:r>
    </w:p>
    <w:p w:rsidR="00B01A6B" w:rsidRDefault="00B01A6B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:rsidR="00B01A6B" w:rsidRDefault="00B01A6B" w:rsidP="00931549">
      <w:pPr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Pr="000868E4">
        <w:rPr>
          <w:b/>
          <w:i/>
          <w:sz w:val="22"/>
          <w:szCs w:val="22"/>
        </w:rPr>
        <w:t>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B01A6B" w:rsidRPr="001B42CA" w:rsidRDefault="00B01A6B" w:rsidP="00931549">
      <w:pPr>
        <w:adjustRightInd w:val="0"/>
        <w:ind w:firstLine="539"/>
        <w:jc w:val="both"/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, который представляется после завершения размещения </w:t>
      </w:r>
      <w:r>
        <w:rPr>
          <w:sz w:val="22"/>
          <w:szCs w:val="22"/>
        </w:rPr>
        <w:t>облигаций</w:t>
      </w:r>
    </w:p>
    <w:p w:rsidR="00B01A6B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lastRenderedPageBreak/>
        <w:t>Сведения, подлежащие указанию в настоящем пункте, указаны в пункте 8.</w:t>
      </w:r>
      <w:r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B01A6B" w:rsidRPr="001B42CA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B01A6B" w:rsidRPr="001B42CA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B01A6B" w:rsidRPr="001B42CA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0662B3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Срок (дата) погашения </w:t>
      </w:r>
      <w:r w:rsidRPr="000662B3">
        <w:rPr>
          <w:sz w:val="22"/>
          <w:szCs w:val="22"/>
        </w:rPr>
        <w:t>Биржевых облигаций или порядок ее определения.</w:t>
      </w:r>
    </w:p>
    <w:p w:rsidR="00B01A6B" w:rsidRPr="000662B3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 xml:space="preserve">Биржевые облигации погашаются по номинальной стоимости в </w:t>
      </w:r>
      <w:r w:rsidRPr="000662B3">
        <w:rPr>
          <w:b/>
          <w:bCs/>
          <w:i/>
          <w:iCs/>
          <w:sz w:val="22"/>
          <w:szCs w:val="22"/>
        </w:rPr>
        <w:t>5 460 (Пять тысяч четыреста шестидесятый)</w:t>
      </w:r>
      <w:r w:rsidRPr="000662B3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:rsidR="00B01A6B" w:rsidRPr="000662B3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B01A6B" w:rsidRPr="000662B3" w:rsidRDefault="00B01A6B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B01A6B" w:rsidRPr="000662B3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0662B3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Порядок и условия погашения Биржевых облигаций.</w:t>
      </w:r>
    </w:p>
    <w:p w:rsidR="00B01A6B" w:rsidRPr="000662B3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:rsidR="00B01A6B" w:rsidRPr="000662B3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B01A6B" w:rsidRPr="000662B3" w:rsidRDefault="00B01A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:rsidR="00B01A6B" w:rsidRPr="000662B3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0662B3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B01A6B" w:rsidRPr="000662B3" w:rsidRDefault="00B01A6B" w:rsidP="00931549">
      <w:pPr>
        <w:adjustRightInd w:val="0"/>
        <w:ind w:firstLine="539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Доходом</w:t>
      </w:r>
      <w:r w:rsidRPr="000662B3">
        <w:rPr>
          <w:b/>
          <w:bCs/>
          <w:i/>
          <w:sz w:val="22"/>
          <w:szCs w:val="22"/>
        </w:rPr>
        <w:t xml:space="preserve"> по </w:t>
      </w:r>
      <w:r w:rsidRPr="000662B3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на номинальную стоимость Биржевых облигаций и выплачиваемых в дату окончания соответствующего купонного периода. 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 xml:space="preserve">Биржевые облигации имеют 60 (Шестьдесят) купонных периодов. 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Длительность каждого из купонных периодов устанавливается равной 91 (Девяносто один) день.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= ДНР +91 * (i-1), где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(i=1,2,3…,60);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= ДНР + 91 * i, где</w:t>
      </w:r>
    </w:p>
    <w:p w:rsidR="00B01A6B" w:rsidRPr="000662B3" w:rsidRDefault="00B01A6B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(i=1,2,3…60);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01A6B" w:rsidRPr="000662B3" w:rsidRDefault="00B01A6B" w:rsidP="00B32CC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размера дохода, выплачиваемого по каждому купону: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0662B3">
        <w:rPr>
          <w:b/>
          <w:bCs/>
          <w:i/>
          <w:sz w:val="22"/>
          <w:szCs w:val="22"/>
        </w:rPr>
        <w:t>КД</w:t>
      </w:r>
      <w:r w:rsidRPr="000662B3">
        <w:rPr>
          <w:b/>
          <w:bCs/>
          <w:i/>
          <w:sz w:val="22"/>
          <w:szCs w:val="22"/>
          <w:lang w:val="fr-FR"/>
        </w:rPr>
        <w:t>i= Ci * Nom * (</w:t>
      </w:r>
      <w:r w:rsidRPr="000662B3">
        <w:rPr>
          <w:b/>
          <w:bCs/>
          <w:i/>
          <w:sz w:val="22"/>
          <w:szCs w:val="22"/>
        </w:rPr>
        <w:t>ДОКП</w:t>
      </w:r>
      <w:r w:rsidRPr="000662B3">
        <w:rPr>
          <w:b/>
          <w:bCs/>
          <w:i/>
          <w:sz w:val="22"/>
          <w:szCs w:val="22"/>
          <w:lang w:val="fr-FR"/>
        </w:rPr>
        <w:t xml:space="preserve">(i) - </w:t>
      </w:r>
      <w:r w:rsidRPr="000662B3">
        <w:rPr>
          <w:b/>
          <w:bCs/>
          <w:i/>
          <w:sz w:val="22"/>
          <w:szCs w:val="22"/>
        </w:rPr>
        <w:t>ДНКП</w:t>
      </w:r>
      <w:r w:rsidRPr="000662B3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где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0662B3">
        <w:rPr>
          <w:b/>
          <w:bCs/>
          <w:i/>
          <w:iCs/>
          <w:sz w:val="22"/>
          <w:szCs w:val="22"/>
        </w:rPr>
        <w:t xml:space="preserve"> (в рублях)</w:t>
      </w:r>
      <w:r w:rsidRPr="000662B3">
        <w:rPr>
          <w:b/>
          <w:bCs/>
          <w:i/>
          <w:sz w:val="22"/>
          <w:szCs w:val="22"/>
        </w:rPr>
        <w:t>;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Nom – номинальная стоимость одной Биржевой облигации (в рублях);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lastRenderedPageBreak/>
        <w:t>Ci - размер процентной ставки по i-му купону, проценты годовых;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i - порядковый номер купонного периода (i=1,2,3…60).</w:t>
      </w:r>
    </w:p>
    <w:p w:rsidR="00B01A6B" w:rsidRPr="000662B3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B01A6B" w:rsidRPr="000662B3" w:rsidRDefault="00B01A6B" w:rsidP="00052335">
      <w:pPr>
        <w:ind w:firstLine="539"/>
        <w:jc w:val="both"/>
        <w:rPr>
          <w:sz w:val="22"/>
        </w:rPr>
      </w:pPr>
    </w:p>
    <w:p w:rsidR="00B01A6B" w:rsidRPr="000662B3" w:rsidRDefault="00B01A6B" w:rsidP="00052335">
      <w:pPr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</w:t>
      </w:r>
      <w:r w:rsidRPr="000662B3" w:rsidDel="00C90BAE">
        <w:rPr>
          <w:sz w:val="22"/>
        </w:rPr>
        <w:t xml:space="preserve"> </w:t>
      </w:r>
      <w:r w:rsidRPr="000662B3">
        <w:rPr>
          <w:sz w:val="22"/>
        </w:rPr>
        <w:t>первому купону:</w:t>
      </w:r>
    </w:p>
    <w:p w:rsidR="00B01A6B" w:rsidRPr="000662B3" w:rsidRDefault="00B01A6B" w:rsidP="00676D5B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0662B3">
        <w:rPr>
          <w:b/>
          <w:bCs/>
          <w:i/>
          <w:iCs/>
          <w:sz w:val="22"/>
          <w:szCs w:val="22"/>
        </w:rPr>
        <w:t xml:space="preserve">подпункте 2 </w:t>
      </w:r>
      <w:r w:rsidRPr="000662B3">
        <w:rPr>
          <w:b/>
          <w:bCs/>
          <w:i/>
          <w:sz w:val="22"/>
          <w:szCs w:val="22"/>
        </w:rPr>
        <w:t>п. 8.3. Программы.</w:t>
      </w:r>
    </w:p>
    <w:p w:rsidR="00B01A6B" w:rsidRPr="000662B3" w:rsidRDefault="00B01A6B" w:rsidP="00676D5B">
      <w:pPr>
        <w:ind w:firstLine="539"/>
        <w:jc w:val="both"/>
        <w:rPr>
          <w:b/>
          <w:i/>
          <w:sz w:val="22"/>
        </w:rPr>
      </w:pPr>
      <w:r w:rsidRPr="000662B3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B01A6B" w:rsidRPr="000662B3" w:rsidRDefault="00B01A6B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01A6B" w:rsidRPr="000662B3" w:rsidRDefault="00B01A6B" w:rsidP="00410ED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 купонам, начиная со второго:</w:t>
      </w:r>
    </w:p>
    <w:p w:rsidR="00B01A6B" w:rsidRPr="000662B3" w:rsidRDefault="00B01A6B" w:rsidP="005F2D64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Порядок определения процентной ставки по купонам, начиная со второго, указан в  пп. А) и пп. Б) п. 9.3 Программы.</w:t>
      </w:r>
    </w:p>
    <w:p w:rsidR="00B01A6B" w:rsidRPr="00E06FC7" w:rsidRDefault="00B01A6B" w:rsidP="00676D5B">
      <w:pPr>
        <w:adjustRightInd w:val="0"/>
        <w:ind w:firstLine="539"/>
        <w:jc w:val="both"/>
        <w:rPr>
          <w:b/>
          <w:bCs/>
          <w:i/>
          <w:color w:val="000000"/>
          <w:sz w:val="22"/>
          <w:szCs w:val="22"/>
        </w:rPr>
      </w:pPr>
      <w:r w:rsidRPr="000662B3">
        <w:rPr>
          <w:b/>
          <w:bCs/>
          <w:i/>
          <w:color w:val="000000"/>
          <w:sz w:val="22"/>
          <w:szCs w:val="22"/>
        </w:rPr>
        <w:t>Иные сведения о порядке определения дохода, выплачиваемого по каждой Биржевой облигации, подлежащие указанию в настоящем пункте, указаны в пункте 9.3. Программы биржевых облигаций и раскрывается Эмитентом</w:t>
      </w:r>
      <w:r w:rsidRPr="00E06FC7">
        <w:rPr>
          <w:b/>
          <w:bCs/>
          <w:i/>
          <w:color w:val="000000"/>
          <w:sz w:val="22"/>
          <w:szCs w:val="22"/>
        </w:rPr>
        <w:t xml:space="preserve"> в порядке и сроки, установленные п. 11 Программы.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:rsidR="00B01A6B" w:rsidRPr="001B42CA" w:rsidRDefault="00B01A6B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01A6B" w:rsidRPr="001B42CA" w:rsidRDefault="00B01A6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B01A6B" w:rsidRPr="00A5192B" w:rsidRDefault="00B01A6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</w:t>
      </w:r>
      <w:r w:rsidRPr="00A5192B">
        <w:rPr>
          <w:b/>
          <w:bCs/>
          <w:i/>
          <w:sz w:val="22"/>
          <w:szCs w:val="22"/>
        </w:rPr>
        <w:t>+ 91 * i, где</w:t>
      </w:r>
    </w:p>
    <w:p w:rsidR="00B01A6B" w:rsidRPr="00A5192B" w:rsidRDefault="00B01A6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01A6B" w:rsidRPr="00A5192B" w:rsidRDefault="00B01A6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купонного периода, (i=1,2,3…60);</w:t>
      </w:r>
    </w:p>
    <w:p w:rsidR="00B01A6B" w:rsidRPr="00A5192B" w:rsidRDefault="00B01A6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B01A6B" w:rsidRPr="00A5192B" w:rsidRDefault="00B01A6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01A6B" w:rsidRPr="001B42CA" w:rsidRDefault="00B01A6B" w:rsidP="00FB7FE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выплаты дохода по облигациям</w:t>
      </w:r>
      <w:r w:rsidRPr="001B42CA">
        <w:rPr>
          <w:sz w:val="22"/>
          <w:szCs w:val="22"/>
        </w:rPr>
        <w:t xml:space="preserve">: </w:t>
      </w:r>
    </w:p>
    <w:p w:rsidR="00B01A6B" w:rsidRPr="001B42CA" w:rsidRDefault="00B01A6B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B01A6B" w:rsidRPr="001B42CA" w:rsidRDefault="00B01A6B" w:rsidP="00FB7FE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B01A6B" w:rsidRDefault="00B01A6B" w:rsidP="009B53E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</w:t>
      </w:r>
      <w:r w:rsidRPr="00CF1050">
        <w:rPr>
          <w:b/>
          <w:i/>
          <w:sz w:val="22"/>
          <w:szCs w:val="22"/>
        </w:rPr>
        <w:t>по требованию их владельцев</w:t>
      </w:r>
      <w:r>
        <w:rPr>
          <w:b/>
          <w:i/>
          <w:sz w:val="22"/>
          <w:szCs w:val="22"/>
        </w:rPr>
        <w:t>.</w:t>
      </w:r>
    </w:p>
    <w:p w:rsidR="00B01A6B" w:rsidRPr="009B53EF" w:rsidRDefault="00B01A6B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i/>
        </w:rPr>
      </w:pPr>
      <w:r w:rsidRPr="009B53EF">
        <w:rPr>
          <w:b/>
          <w:bCs/>
          <w:i/>
          <w:iCs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:rsidR="00B01A6B" w:rsidRDefault="00B01A6B" w:rsidP="00931549">
      <w:pPr>
        <w:ind w:firstLine="539"/>
        <w:jc w:val="both"/>
        <w:rPr>
          <w:sz w:val="22"/>
          <w:szCs w:val="22"/>
        </w:rPr>
      </w:pPr>
    </w:p>
    <w:p w:rsidR="00B01A6B" w:rsidRPr="001B42CA" w:rsidRDefault="00B01A6B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:rsidR="00B01A6B" w:rsidRDefault="00B01A6B" w:rsidP="00CF105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</w:t>
      </w:r>
      <w:r w:rsidRPr="00033381">
        <w:rPr>
          <w:b/>
          <w:i/>
          <w:sz w:val="22"/>
          <w:szCs w:val="22"/>
        </w:rPr>
        <w:t xml:space="preserve"> о </w:t>
      </w:r>
      <w:r>
        <w:rPr>
          <w:b/>
          <w:i/>
          <w:sz w:val="22"/>
          <w:szCs w:val="22"/>
        </w:rPr>
        <w:t xml:space="preserve">порядке и условиях </w:t>
      </w:r>
      <w:r w:rsidRPr="00033381">
        <w:rPr>
          <w:b/>
          <w:i/>
          <w:sz w:val="22"/>
          <w:szCs w:val="22"/>
        </w:rPr>
        <w:t>досрочно</w:t>
      </w:r>
      <w:r>
        <w:rPr>
          <w:b/>
          <w:i/>
          <w:sz w:val="22"/>
          <w:szCs w:val="22"/>
        </w:rPr>
        <w:t>го</w:t>
      </w:r>
      <w:r w:rsidRPr="00033381">
        <w:rPr>
          <w:b/>
          <w:i/>
          <w:sz w:val="22"/>
          <w:szCs w:val="22"/>
        </w:rPr>
        <w:t xml:space="preserve"> погашени</w:t>
      </w:r>
      <w:r>
        <w:rPr>
          <w:b/>
          <w:i/>
          <w:sz w:val="22"/>
          <w:szCs w:val="22"/>
        </w:rPr>
        <w:t>я</w:t>
      </w:r>
      <w:r w:rsidRPr="00033381">
        <w:rPr>
          <w:b/>
          <w:i/>
          <w:sz w:val="22"/>
          <w:szCs w:val="22"/>
        </w:rPr>
        <w:t xml:space="preserve"> Биржевых облигаций по требованию их владельцев</w:t>
      </w:r>
      <w:r w:rsidRPr="001B42CA">
        <w:rPr>
          <w:b/>
          <w:i/>
          <w:sz w:val="22"/>
          <w:szCs w:val="22"/>
        </w:rPr>
        <w:t>, подлежащие указанию в настоящем пункте, приведены в пункте 9.5.1 Программы биржевых облигаций.</w:t>
      </w:r>
      <w:r w:rsidRPr="00CF1050">
        <w:rPr>
          <w:b/>
          <w:bCs/>
          <w:i/>
          <w:iCs/>
          <w:sz w:val="22"/>
          <w:szCs w:val="22"/>
        </w:rPr>
        <w:t xml:space="preserve"> </w:t>
      </w:r>
    </w:p>
    <w:p w:rsidR="00B01A6B" w:rsidRDefault="00B01A6B" w:rsidP="00CF1050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Досрочное погашение Биржевых облигаций по требованию их владельцев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01A6B" w:rsidRPr="001B42CA" w:rsidRDefault="00B01A6B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:rsidR="00B01A6B" w:rsidRPr="00812317" w:rsidRDefault="00B01A6B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Возможность досрочного погашения Биржевых облигаций по усмотрению Эмитента в соответствии с п.п. 9.5.2.1, 9.5.2.2, п. 9.5.2.3 Программы биржевых облигаций, не предусмотрена.</w:t>
      </w:r>
    </w:p>
    <w:p w:rsidR="00B01A6B" w:rsidRPr="00812317" w:rsidRDefault="00B01A6B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B01A6B" w:rsidRPr="001B42CA" w:rsidRDefault="00B01A6B" w:rsidP="00931549">
      <w:pPr>
        <w:ind w:firstLine="539"/>
        <w:jc w:val="both"/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:rsidR="00B01A6B" w:rsidRPr="001B42CA" w:rsidRDefault="00B01A6B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B01A6B" w:rsidRPr="009510BE" w:rsidRDefault="00B01A6B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9510BE">
        <w:rPr>
          <w:b/>
          <w:bCs/>
          <w:i/>
          <w:spacing w:val="-1"/>
          <w:sz w:val="22"/>
          <w:szCs w:val="22"/>
          <w:lang w:eastAsia="en-US"/>
        </w:rPr>
        <w:t xml:space="preserve">Предусматривается возможность приобретения Эмитентом Биржевых облигаций </w:t>
      </w:r>
      <w:r w:rsidRPr="009510BE">
        <w:rPr>
          <w:b/>
          <w:bCs/>
          <w:i/>
          <w:iCs/>
          <w:sz w:val="22"/>
          <w:szCs w:val="22"/>
        </w:rPr>
        <w:t xml:space="preserve">по требованию их владельцев и </w:t>
      </w:r>
      <w:r w:rsidRPr="009510BE">
        <w:rPr>
          <w:b/>
          <w:bCs/>
          <w:i/>
          <w:spacing w:val="-1"/>
          <w:sz w:val="22"/>
          <w:szCs w:val="22"/>
          <w:lang w:eastAsia="en-US"/>
        </w:rPr>
        <w:t>по соглашению с их владельцем (владельцами) с возможностью их последующего обращения.</w:t>
      </w:r>
    </w:p>
    <w:p w:rsidR="00B01A6B" w:rsidRDefault="00B01A6B" w:rsidP="009510BE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>
        <w:rPr>
          <w:b/>
          <w:bCs/>
          <w:i/>
          <w:iCs/>
          <w:sz w:val="22"/>
          <w:szCs w:val="22"/>
        </w:rPr>
        <w:t>рублях Российской Федерации</w:t>
      </w:r>
      <w:r w:rsidRPr="002B15AD">
        <w:rPr>
          <w:b/>
          <w:bCs/>
          <w:i/>
          <w:iCs/>
          <w:sz w:val="22"/>
          <w:szCs w:val="22"/>
        </w:rPr>
        <w:t>.</w:t>
      </w:r>
    </w:p>
    <w:p w:rsidR="00B01A6B" w:rsidRPr="00812317" w:rsidRDefault="00B01A6B" w:rsidP="009510BE">
      <w:pPr>
        <w:widowControl w:val="0"/>
        <w:spacing w:line="252" w:lineRule="exact"/>
        <w:ind w:right="111" w:firstLine="540"/>
        <w:jc w:val="both"/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812317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812317">
        <w:t xml:space="preserve"> </w:t>
      </w:r>
    </w:p>
    <w:p w:rsidR="00B01A6B" w:rsidRDefault="00B01A6B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B01A6B" w:rsidRPr="009510BE" w:rsidRDefault="00B01A6B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по требованию их владельца (владельцев) </w:t>
      </w:r>
      <w:r w:rsidRPr="009510BE">
        <w:rPr>
          <w:b/>
          <w:i/>
          <w:sz w:val="22"/>
          <w:szCs w:val="22"/>
        </w:rPr>
        <w:t>с возможностью их последующего обращения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B01A6B" w:rsidRPr="009510BE" w:rsidRDefault="00B01A6B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9510BE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B01A6B" w:rsidRPr="009510BE" w:rsidRDefault="00B01A6B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9510BE">
        <w:rPr>
          <w:b/>
          <w:bCs/>
          <w:i/>
          <w:sz w:val="22"/>
          <w:szCs w:val="22"/>
          <w:lang w:eastAsia="en-US"/>
        </w:rPr>
        <w:t>приведены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в п. 10.1, п. 10.3, п. 10.4 Программы биржевых облигаций.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B01A6B" w:rsidRPr="002D5028" w:rsidRDefault="00B01A6B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2D5028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D5028">
        <w:rPr>
          <w:b/>
          <w:i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B01A6B" w:rsidRPr="002D5028" w:rsidRDefault="00B01A6B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B01A6B" w:rsidRPr="002D5028" w:rsidRDefault="00B01A6B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10.2, п.10.3, п. 10.4 Программы биржевых облигаций.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:rsidR="00B01A6B" w:rsidRPr="001B42CA" w:rsidRDefault="00B01A6B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B01A6B" w:rsidRPr="001B42CA" w:rsidRDefault="00B01A6B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>
        <w:rPr>
          <w:sz w:val="22"/>
          <w:szCs w:val="22"/>
        </w:rPr>
        <w:t>их условий выпуска (дополнительном выпуске) 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B01A6B" w:rsidRPr="001B42CA" w:rsidRDefault="00B01A6B" w:rsidP="00931549">
      <w:pPr>
        <w:adjustRightInd w:val="0"/>
        <w:ind w:firstLine="539"/>
        <w:jc w:val="both"/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B01A6B" w:rsidRPr="001B42CA" w:rsidRDefault="00B01A6B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B01A6B" w:rsidRPr="001B42CA" w:rsidRDefault="00B01A6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B01A6B" w:rsidRPr="001B42CA" w:rsidRDefault="00B01A6B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</w:t>
      </w:r>
      <w:r w:rsidRPr="001B42CA">
        <w:rPr>
          <w:b/>
          <w:i/>
          <w:sz w:val="22"/>
          <w:szCs w:val="22"/>
        </w:rPr>
        <w:lastRenderedPageBreak/>
        <w:t xml:space="preserve">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B01A6B" w:rsidRDefault="00B01A6B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Pr="00A33AF2">
        <w:rPr>
          <w:b/>
          <w:i/>
          <w:sz w:val="22"/>
          <w:szCs w:val="22"/>
        </w:rPr>
        <w:t>8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Образец сертификата</w:t>
      </w:r>
    </w:p>
    <w:p w:rsidR="00B01A6B" w:rsidRPr="00675291" w:rsidRDefault="00B01A6B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Pr="00675291">
        <w:rPr>
          <w:b/>
          <w:sz w:val="22"/>
          <w:szCs w:val="22"/>
          <w:u w:val="single"/>
        </w:rPr>
        <w:t>ицевая сторона</w:t>
      </w:r>
    </w:p>
    <w:p w:rsidR="00B01A6B" w:rsidRPr="001B42CA" w:rsidRDefault="007C611D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E95A9" id="Rectangle 3" o:spid="_x0000_s1026" style="position:absolute;margin-left:-3.45pt;margin-top:4.9pt;width:511.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B01A6B" w:rsidRPr="00132894" w:rsidRDefault="00B01A6B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B01A6B" w:rsidRPr="00132894" w:rsidRDefault="00B01A6B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B01A6B" w:rsidRPr="001B42CA" w:rsidRDefault="00B01A6B" w:rsidP="002817C5">
      <w:pPr>
        <w:jc w:val="center"/>
        <w:rPr>
          <w:sz w:val="22"/>
          <w:szCs w:val="22"/>
        </w:rPr>
      </w:pPr>
    </w:p>
    <w:p w:rsidR="00B01A6B" w:rsidRPr="00046FBF" w:rsidRDefault="00B01A6B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Pr="00046FBF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:rsidR="00B01A6B" w:rsidRPr="00046FBF" w:rsidRDefault="00B01A6B" w:rsidP="002817C5">
      <w:pPr>
        <w:jc w:val="center"/>
        <w:rPr>
          <w:b/>
          <w:i/>
          <w:sz w:val="22"/>
          <w:szCs w:val="22"/>
        </w:rPr>
      </w:pPr>
    </w:p>
    <w:p w:rsidR="00B01A6B" w:rsidRPr="00046FBF" w:rsidRDefault="00B01A6B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Почтовый адрес: </w:t>
      </w:r>
      <w:r w:rsidRPr="00046FBF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:rsidR="00B01A6B" w:rsidRPr="009E575A" w:rsidRDefault="00B01A6B" w:rsidP="002817C5">
      <w:pPr>
        <w:ind w:right="-109"/>
        <w:jc w:val="center"/>
        <w:rPr>
          <w:b/>
          <w:bCs/>
          <w:sz w:val="22"/>
          <w:szCs w:val="22"/>
        </w:rPr>
      </w:pPr>
    </w:p>
    <w:p w:rsidR="00B01A6B" w:rsidRPr="009E575A" w:rsidRDefault="00B01A6B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B01A6B" w:rsidRPr="00F645DC" w:rsidRDefault="00B01A6B" w:rsidP="002817C5">
      <w:pPr>
        <w:spacing w:before="120"/>
        <w:ind w:right="-109" w:firstLine="851"/>
        <w:jc w:val="center"/>
        <w:rPr>
          <w:b/>
          <w:bCs/>
          <w:iCs/>
          <w:color w:val="000000"/>
          <w:sz w:val="22"/>
          <w:szCs w:val="22"/>
        </w:rPr>
      </w:pPr>
      <w:r w:rsidRPr="001A643B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1A643B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на предъявителя с обязательным централизованным </w:t>
      </w:r>
      <w:r w:rsidRPr="00F645DC">
        <w:rPr>
          <w:b/>
          <w:bCs/>
          <w:iCs/>
          <w:color w:val="000000"/>
          <w:sz w:val="22"/>
          <w:szCs w:val="22"/>
        </w:rPr>
        <w:t>хранением серии 001Р-</w:t>
      </w:r>
      <w:r>
        <w:rPr>
          <w:b/>
          <w:bCs/>
          <w:iCs/>
          <w:color w:val="000000"/>
          <w:sz w:val="22"/>
          <w:szCs w:val="22"/>
        </w:rPr>
        <w:t>07</w:t>
      </w:r>
    </w:p>
    <w:p w:rsidR="00B01A6B" w:rsidRPr="009E575A" w:rsidRDefault="00B01A6B" w:rsidP="002817C5">
      <w:pPr>
        <w:ind w:right="-109"/>
        <w:jc w:val="center"/>
        <w:rPr>
          <w:sz w:val="22"/>
          <w:szCs w:val="22"/>
        </w:rPr>
      </w:pPr>
    </w:p>
    <w:p w:rsidR="00B01A6B" w:rsidRDefault="00B01A6B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B01A6B" w:rsidRPr="009E575A" w:rsidRDefault="00B01A6B" w:rsidP="002817C5">
      <w:pPr>
        <w:ind w:right="-109"/>
        <w:jc w:val="center"/>
        <w:rPr>
          <w:sz w:val="22"/>
          <w:szCs w:val="22"/>
        </w:rPr>
      </w:pPr>
    </w:p>
    <w:p w:rsidR="00B01A6B" w:rsidRDefault="00B01A6B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  <w:r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>выпуска</w:t>
      </w:r>
    </w:p>
    <w:tbl>
      <w:tblPr>
        <w:tblW w:w="6240" w:type="dxa"/>
        <w:tblInd w:w="1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B01A6B" w:rsidRPr="00EB718C" w:rsidTr="007A6CAF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6B" w:rsidRPr="00540BD7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6B" w:rsidRPr="00EB718C" w:rsidRDefault="00B01A6B" w:rsidP="004672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A6B" w:rsidRDefault="00B01A6B" w:rsidP="002817C5">
      <w:pPr>
        <w:ind w:right="-109"/>
        <w:jc w:val="center"/>
        <w:rPr>
          <w:sz w:val="22"/>
          <w:szCs w:val="22"/>
        </w:rPr>
      </w:pPr>
    </w:p>
    <w:p w:rsidR="00B01A6B" w:rsidRPr="009E575A" w:rsidRDefault="00B01A6B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B01A6B" w:rsidRPr="00EB718C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B01A6B" w:rsidRPr="00EB718C" w:rsidRDefault="00B01A6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01A6B" w:rsidRDefault="00B01A6B" w:rsidP="00C72E1D">
      <w:pPr>
        <w:ind w:right="140"/>
        <w:jc w:val="center"/>
        <w:rPr>
          <w:sz w:val="22"/>
          <w:szCs w:val="22"/>
        </w:rPr>
      </w:pPr>
    </w:p>
    <w:p w:rsidR="00B01A6B" w:rsidRPr="009E575A" w:rsidRDefault="00B01A6B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</w:t>
      </w:r>
      <w:r>
        <w:rPr>
          <w:sz w:val="22"/>
          <w:szCs w:val="22"/>
        </w:rPr>
        <w:t>серии 001</w:t>
      </w:r>
      <w:r>
        <w:rPr>
          <w:sz w:val="22"/>
          <w:szCs w:val="22"/>
          <w:lang w:val="en-US"/>
        </w:rPr>
        <w:t>P</w:t>
      </w:r>
      <w:r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:rsidR="00B01A6B" w:rsidRPr="009E575A" w:rsidRDefault="00B01A6B" w:rsidP="00A738F6">
      <w:pPr>
        <w:ind w:left="180" w:right="140" w:firstLine="851"/>
        <w:jc w:val="center"/>
        <w:rPr>
          <w:sz w:val="22"/>
          <w:szCs w:val="22"/>
        </w:rPr>
      </w:pPr>
    </w:p>
    <w:p w:rsidR="00B01A6B" w:rsidRPr="009E575A" w:rsidRDefault="00B01A6B" w:rsidP="001841DB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Pr="009E575A">
        <w:rPr>
          <w:sz w:val="22"/>
          <w:szCs w:val="22"/>
        </w:rPr>
        <w:t xml:space="preserve"> общество «</w:t>
      </w:r>
      <w:r>
        <w:rPr>
          <w:sz w:val="22"/>
          <w:szCs w:val="22"/>
        </w:rPr>
        <w:t>Государственная транспортная лизинговая компания</w:t>
      </w:r>
      <w:r w:rsidRPr="009E575A">
        <w:rPr>
          <w:sz w:val="22"/>
          <w:szCs w:val="22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01A6B" w:rsidRPr="009E575A" w:rsidRDefault="00B01A6B" w:rsidP="007C0AD1">
      <w:pPr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удостоверяет права </w:t>
      </w:r>
      <w:r w:rsidRPr="007C0AD1">
        <w:rPr>
          <w:sz w:val="22"/>
          <w:szCs w:val="22"/>
        </w:rPr>
        <w:t>10 000 000 (Десяти миллионов) Биржевых облигаций номинальной стоимостью 1 000 (Одна тысяча) рублей каждая общей номинальной стоимостью 10 000 000 000 (Десять миллиардов)  рублей.</w:t>
      </w:r>
    </w:p>
    <w:p w:rsidR="00B01A6B" w:rsidRPr="009E575A" w:rsidRDefault="00B01A6B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:rsidR="00B01A6B" w:rsidRPr="009E575A" w:rsidRDefault="00B01A6B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B01A6B" w:rsidRPr="009E575A" w:rsidRDefault="00B01A6B" w:rsidP="001841DB">
      <w:pPr>
        <w:spacing w:before="80" w:after="20"/>
        <w:ind w:left="180"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____________________________________</w:t>
      </w:r>
    </w:p>
    <w:p w:rsidR="00B01A6B" w:rsidRPr="008D2C4E" w:rsidRDefault="00B01A6B" w:rsidP="001841DB">
      <w:pPr>
        <w:spacing w:before="80" w:after="20"/>
        <w:ind w:left="142" w:right="140"/>
        <w:jc w:val="both"/>
        <w:rPr>
          <w:b/>
          <w:sz w:val="24"/>
          <w:szCs w:val="24"/>
        </w:rPr>
      </w:pPr>
      <w:r w:rsidRPr="007C0AD1">
        <w:rPr>
          <w:bCs/>
          <w:sz w:val="24"/>
          <w:szCs w:val="24"/>
        </w:rPr>
        <w:t xml:space="preserve">составляет  </w:t>
      </w:r>
      <w:r w:rsidRPr="007C0AD1">
        <w:rPr>
          <w:b/>
          <w:bCs/>
          <w:sz w:val="24"/>
          <w:szCs w:val="24"/>
        </w:rPr>
        <w:t xml:space="preserve">10 000 000 (Десять миллионов) </w:t>
      </w:r>
      <w:r w:rsidRPr="008D2C4E">
        <w:rPr>
          <w:bCs/>
          <w:sz w:val="24"/>
          <w:szCs w:val="24"/>
        </w:rPr>
        <w:t>Биржевых облигаций</w:t>
      </w:r>
      <w:r w:rsidRPr="008D2C4E">
        <w:rPr>
          <w:sz w:val="24"/>
          <w:szCs w:val="24"/>
        </w:rPr>
        <w:t xml:space="preserve"> номинальной стоимостью </w:t>
      </w:r>
      <w:r w:rsidRPr="007C0AD1">
        <w:rPr>
          <w:b/>
          <w:sz w:val="24"/>
          <w:szCs w:val="24"/>
        </w:rPr>
        <w:t>1 000 (Одна тысяча)</w:t>
      </w:r>
      <w:r w:rsidRPr="007C0AD1">
        <w:rPr>
          <w:b/>
          <w:bCs/>
          <w:sz w:val="24"/>
          <w:szCs w:val="24"/>
        </w:rPr>
        <w:t xml:space="preserve"> рублей</w:t>
      </w:r>
      <w:r w:rsidRPr="007C0AD1">
        <w:rPr>
          <w:sz w:val="24"/>
          <w:szCs w:val="24"/>
        </w:rPr>
        <w:t xml:space="preserve"> каждая и общей номинальной стоимостью </w:t>
      </w:r>
      <w:r w:rsidRPr="007C0AD1">
        <w:rPr>
          <w:b/>
          <w:bCs/>
          <w:iCs/>
          <w:sz w:val="24"/>
          <w:szCs w:val="24"/>
        </w:rPr>
        <w:t>10 000 000 000 (Десять миллиардов)</w:t>
      </w:r>
      <w:r w:rsidRPr="007C0AD1">
        <w:rPr>
          <w:b/>
          <w:bCs/>
          <w:sz w:val="24"/>
          <w:szCs w:val="24"/>
        </w:rPr>
        <w:t xml:space="preserve"> рублей</w:t>
      </w:r>
      <w:r w:rsidRPr="007C0AD1">
        <w:rPr>
          <w:b/>
          <w:sz w:val="24"/>
          <w:szCs w:val="24"/>
        </w:rPr>
        <w:t>.</w:t>
      </w:r>
    </w:p>
    <w:p w:rsidR="00B01A6B" w:rsidRPr="009E575A" w:rsidRDefault="00B01A6B" w:rsidP="001841DB">
      <w:pPr>
        <w:ind w:left="180" w:right="140"/>
        <w:jc w:val="both"/>
        <w:rPr>
          <w:sz w:val="22"/>
          <w:szCs w:val="22"/>
        </w:rPr>
      </w:pPr>
    </w:p>
    <w:p w:rsidR="00B01A6B" w:rsidRPr="009E575A" w:rsidRDefault="00B01A6B" w:rsidP="001841DB">
      <w:pPr>
        <w:ind w:left="180" w:right="140"/>
        <w:jc w:val="both"/>
        <w:rPr>
          <w:sz w:val="22"/>
          <w:szCs w:val="22"/>
        </w:rPr>
      </w:pPr>
    </w:p>
    <w:p w:rsidR="00B01A6B" w:rsidRPr="00871804" w:rsidRDefault="00B01A6B" w:rsidP="001841DB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01A6B" w:rsidRPr="001B42CA" w:rsidRDefault="00B01A6B" w:rsidP="001841DB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B01A6B" w:rsidRPr="001B42CA" w:rsidRDefault="00B01A6B" w:rsidP="00C72E1D">
      <w:pPr>
        <w:ind w:right="140"/>
        <w:jc w:val="both"/>
        <w:rPr>
          <w:i/>
          <w:iCs/>
          <w:sz w:val="22"/>
          <w:szCs w:val="22"/>
        </w:rPr>
      </w:pPr>
    </w:p>
    <w:p w:rsidR="00B01A6B" w:rsidRPr="001B42CA" w:rsidRDefault="00B01A6B" w:rsidP="00C72E1D">
      <w:pPr>
        <w:ind w:right="140"/>
        <w:jc w:val="both"/>
        <w:rPr>
          <w:sz w:val="22"/>
          <w:szCs w:val="22"/>
        </w:rPr>
      </w:pPr>
    </w:p>
    <w:p w:rsidR="00B01A6B" w:rsidRPr="002C3C72" w:rsidRDefault="00B01A6B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директор ПАО «ГТЛК»           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</w:t>
      </w: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>/</w:t>
      </w:r>
      <w:r>
        <w:rPr>
          <w:sz w:val="22"/>
          <w:szCs w:val="22"/>
        </w:rPr>
        <w:t>Храмагин С.Н.</w:t>
      </w:r>
      <w:r w:rsidRPr="002C3C72">
        <w:rPr>
          <w:sz w:val="22"/>
          <w:szCs w:val="22"/>
        </w:rPr>
        <w:t xml:space="preserve">/ </w:t>
      </w:r>
    </w:p>
    <w:p w:rsidR="00B01A6B" w:rsidRDefault="00B01A6B" w:rsidP="00C72E1D">
      <w:pPr>
        <w:ind w:right="140"/>
        <w:jc w:val="both"/>
        <w:rPr>
          <w:b/>
          <w:bCs/>
          <w:sz w:val="22"/>
          <w:szCs w:val="22"/>
        </w:rPr>
      </w:pPr>
    </w:p>
    <w:p w:rsidR="00B01A6B" w:rsidRPr="001B42CA" w:rsidRDefault="00B01A6B" w:rsidP="00C72E1D">
      <w:pPr>
        <w:ind w:right="140"/>
        <w:jc w:val="both"/>
        <w:rPr>
          <w:b/>
          <w:bCs/>
          <w:sz w:val="22"/>
          <w:szCs w:val="22"/>
        </w:rPr>
      </w:pPr>
    </w:p>
    <w:p w:rsidR="00B01A6B" w:rsidRPr="001B42CA" w:rsidRDefault="00B01A6B" w:rsidP="00C72E1D">
      <w:pPr>
        <w:ind w:right="140"/>
      </w:pPr>
      <w:r w:rsidRPr="001B42CA">
        <w:rPr>
          <w:sz w:val="22"/>
          <w:szCs w:val="22"/>
        </w:rPr>
        <w:t xml:space="preserve">Дата «__» ________ 20__ г. </w:t>
      </w:r>
      <w:r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B01A6B" w:rsidRPr="001B42CA" w:rsidRDefault="00B01A6B" w:rsidP="00C72E1D">
      <w:pPr>
        <w:ind w:right="140"/>
      </w:pPr>
    </w:p>
    <w:p w:rsidR="00B01A6B" w:rsidRPr="001B42CA" w:rsidRDefault="00B01A6B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B01A6B" w:rsidRPr="001B42CA" w:rsidRDefault="00B01A6B" w:rsidP="007C5B88">
      <w:pPr>
        <w:adjustRightInd w:val="0"/>
        <w:ind w:firstLine="540"/>
        <w:jc w:val="both"/>
        <w:rPr>
          <w:sz w:val="22"/>
          <w:szCs w:val="22"/>
        </w:rPr>
      </w:pPr>
    </w:p>
    <w:p w:rsidR="00B01A6B" w:rsidRPr="00984034" w:rsidRDefault="00B01A6B" w:rsidP="00C72E1D">
      <w:pPr>
        <w:adjustRightInd w:val="0"/>
        <w:ind w:firstLine="540"/>
        <w:jc w:val="right"/>
        <w:rPr>
          <w:b/>
          <w:u w:val="single"/>
        </w:rPr>
      </w:pPr>
      <w:r w:rsidRPr="00984034">
        <w:rPr>
          <w:b/>
          <w:u w:val="single"/>
        </w:rPr>
        <w:t>Оборотная  сторона</w:t>
      </w:r>
    </w:p>
    <w:p w:rsidR="00B01A6B" w:rsidRPr="00984034" w:rsidRDefault="00B01A6B" w:rsidP="00AC63EE">
      <w:pPr>
        <w:ind w:firstLine="539"/>
        <w:jc w:val="both"/>
        <w:rPr>
          <w:bCs/>
          <w:iCs/>
        </w:rPr>
      </w:pPr>
      <w:r w:rsidRPr="00984034">
        <w:rPr>
          <w:bCs/>
          <w:iCs/>
        </w:rPr>
        <w:t>Далее в настоящем документе будут использоваться следующие термины:</w:t>
      </w:r>
    </w:p>
    <w:p w:rsidR="00B01A6B" w:rsidRPr="00984034" w:rsidRDefault="00B01A6B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984034">
        <w:rPr>
          <w:b/>
          <w:bCs/>
          <w:i/>
          <w:iCs/>
          <w:lang w:val="en-US"/>
        </w:rPr>
        <w:t>P</w:t>
      </w:r>
      <w:r w:rsidRPr="00984034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:rsidR="00B01A6B" w:rsidRPr="00984034" w:rsidRDefault="00B01A6B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Условия выпуска – настоящий документ</w:t>
      </w:r>
      <w:r w:rsidRPr="00984034">
        <w:t xml:space="preserve"> </w:t>
      </w:r>
      <w:r w:rsidRPr="00984034">
        <w:rPr>
          <w:b/>
          <w:i/>
        </w:rPr>
        <w:t>(У</w:t>
      </w:r>
      <w:r w:rsidRPr="00984034">
        <w:rPr>
          <w:b/>
          <w:bCs/>
          <w:i/>
          <w:iCs/>
        </w:rPr>
        <w:t>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B01A6B" w:rsidRPr="00984034" w:rsidRDefault="00B01A6B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B01A6B" w:rsidRPr="00984034" w:rsidRDefault="00B01A6B" w:rsidP="00AC63EE">
      <w:pPr>
        <w:ind w:firstLine="539"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Эмитент – Публичное акционерное общество «Государственная транспортная лизинговая компания»,  ПАО «ГТЛК».</w:t>
      </w:r>
    </w:p>
    <w:p w:rsidR="00B01A6B" w:rsidRPr="00984034" w:rsidRDefault="00B01A6B" w:rsidP="00C72E1D">
      <w:pPr>
        <w:adjustRightInd w:val="0"/>
        <w:ind w:firstLine="540"/>
        <w:jc w:val="right"/>
      </w:pPr>
    </w:p>
    <w:p w:rsidR="00B01A6B" w:rsidRPr="00984034" w:rsidRDefault="00B01A6B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984034">
        <w:rPr>
          <w:b/>
          <w:lang w:eastAsia="en-US"/>
        </w:rPr>
        <w:t>Идентификационные признаки выпуска биржевых облигаций:</w:t>
      </w:r>
    </w:p>
    <w:p w:rsidR="00B01A6B" w:rsidRPr="00984034" w:rsidRDefault="00B01A6B" w:rsidP="00782EB8">
      <w:pPr>
        <w:autoSpaceDE/>
        <w:autoSpaceDN/>
        <w:adjustRightInd w:val="0"/>
        <w:jc w:val="both"/>
        <w:rPr>
          <w:b/>
          <w:lang w:eastAsia="en-US"/>
        </w:rPr>
      </w:pPr>
    </w:p>
    <w:p w:rsidR="00B01A6B" w:rsidRPr="00F645DC" w:rsidRDefault="00B01A6B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98403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984034">
        <w:rPr>
          <w:b/>
          <w:bCs/>
          <w:i/>
          <w:lang w:eastAsia="en-US"/>
        </w:rPr>
        <w:t xml:space="preserve">Биржевые облигации на </w:t>
      </w:r>
      <w:r w:rsidRPr="00F645DC">
        <w:rPr>
          <w:b/>
          <w:bCs/>
          <w:i/>
          <w:color w:val="000000"/>
          <w:lang w:eastAsia="en-US"/>
        </w:rPr>
        <w:t>предъявителя.</w:t>
      </w:r>
    </w:p>
    <w:p w:rsidR="00B01A6B" w:rsidRPr="00F645DC" w:rsidRDefault="00B01A6B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F645DC">
        <w:rPr>
          <w:color w:val="000000"/>
          <w:lang w:eastAsia="en-US"/>
        </w:rPr>
        <w:t xml:space="preserve">Серия: </w:t>
      </w:r>
      <w:r w:rsidRPr="00F645DC">
        <w:rPr>
          <w:b/>
          <w:bCs/>
          <w:i/>
          <w:iCs/>
          <w:color w:val="000000"/>
        </w:rPr>
        <w:t>001Р-</w:t>
      </w:r>
      <w:r>
        <w:rPr>
          <w:b/>
          <w:bCs/>
          <w:i/>
          <w:iCs/>
          <w:color w:val="000000"/>
        </w:rPr>
        <w:t>07</w:t>
      </w:r>
      <w:r w:rsidRPr="00F645DC">
        <w:rPr>
          <w:b/>
          <w:bCs/>
          <w:i/>
          <w:color w:val="000000"/>
          <w:lang w:eastAsia="en-US"/>
        </w:rPr>
        <w:t>.</w:t>
      </w:r>
    </w:p>
    <w:p w:rsidR="00B01A6B" w:rsidRPr="00A5192B" w:rsidRDefault="00B01A6B" w:rsidP="00782EB8">
      <w:pPr>
        <w:adjustRightInd w:val="0"/>
        <w:ind w:firstLine="567"/>
        <w:jc w:val="both"/>
        <w:rPr>
          <w:lang w:eastAsia="en-US"/>
        </w:rPr>
      </w:pPr>
      <w:r w:rsidRPr="00F645DC">
        <w:rPr>
          <w:color w:val="000000"/>
          <w:lang w:eastAsia="en-US"/>
        </w:rPr>
        <w:t xml:space="preserve">Иные идентификационные </w:t>
      </w:r>
      <w:r w:rsidRPr="00A5192B">
        <w:rPr>
          <w:lang w:eastAsia="en-US"/>
        </w:rPr>
        <w:t xml:space="preserve">признаки биржевых облигаций выпуска, размещаемых в рамках программы биржевых облигаций: </w:t>
      </w:r>
      <w:r w:rsidRPr="00A5192B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B01A6B" w:rsidRPr="00A5192B" w:rsidRDefault="00B01A6B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</w:p>
    <w:p w:rsidR="00B01A6B" w:rsidRPr="00A5192B" w:rsidRDefault="00B01A6B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>Срок погашения:</w:t>
      </w:r>
    </w:p>
    <w:p w:rsidR="00B01A6B" w:rsidRPr="00A5192B" w:rsidRDefault="00B01A6B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Биржевые облигации погашаются по номинальной стоимости в 5 460 (Пять тысяч четыреста шестидесятый) день с даты начала размещения Биржевых облигаций.</w:t>
      </w:r>
    </w:p>
    <w:p w:rsidR="00B01A6B" w:rsidRPr="00A5192B" w:rsidRDefault="00B01A6B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B01A6B" w:rsidRPr="00A5192B" w:rsidRDefault="00B01A6B" w:rsidP="00A861C7">
      <w:pPr>
        <w:adjustRightInd w:val="0"/>
        <w:ind w:firstLine="540"/>
        <w:jc w:val="both"/>
      </w:pPr>
    </w:p>
    <w:p w:rsidR="00B01A6B" w:rsidRPr="00A5192B" w:rsidRDefault="00B01A6B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A5192B">
        <w:rPr>
          <w:rFonts w:ascii="Times New Roman" w:hAnsi="Times New Roman"/>
          <w:b/>
          <w:bCs/>
          <w:sz w:val="20"/>
          <w:szCs w:val="20"/>
        </w:rPr>
        <w:t>2.</w:t>
      </w:r>
      <w:r w:rsidRPr="00A5192B">
        <w:rPr>
          <w:rFonts w:ascii="Times New Roman" w:hAnsi="Times New Roman"/>
          <w:bCs/>
          <w:sz w:val="20"/>
          <w:szCs w:val="20"/>
        </w:rPr>
        <w:t xml:space="preserve"> </w:t>
      </w:r>
      <w:r w:rsidRPr="00A5192B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A5192B">
        <w:rPr>
          <w:rFonts w:ascii="Times New Roman" w:hAnsi="Times New Roman"/>
          <w:bCs/>
          <w:sz w:val="20"/>
          <w:szCs w:val="20"/>
        </w:rPr>
        <w:t xml:space="preserve">: </w:t>
      </w:r>
    </w:p>
    <w:p w:rsidR="00B01A6B" w:rsidRPr="00A5192B" w:rsidRDefault="00B01A6B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B01A6B" w:rsidRPr="00984034" w:rsidRDefault="00B01A6B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B01A6B" w:rsidRPr="00984034" w:rsidRDefault="00B01A6B" w:rsidP="007E7BDE">
      <w:pPr>
        <w:ind w:firstLine="539"/>
        <w:contextualSpacing/>
        <w:jc w:val="both"/>
        <w:rPr>
          <w:b/>
          <w:i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</w:t>
      </w:r>
      <w:r>
        <w:rPr>
          <w:b/>
          <w:i/>
          <w:lang w:eastAsia="en-US"/>
        </w:rPr>
        <w:t>.</w:t>
      </w:r>
    </w:p>
    <w:p w:rsidR="00B01A6B" w:rsidRPr="00984034" w:rsidRDefault="00B01A6B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:rsidR="00B01A6B" w:rsidRDefault="00B01A6B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B01A6B" w:rsidRPr="0068105F" w:rsidRDefault="00B01A6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68105F">
        <w:rPr>
          <w:b/>
          <w:bCs/>
          <w:i/>
          <w:iCs/>
          <w:lang w:eastAsia="en-US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B01A6B" w:rsidRPr="007E7BDE" w:rsidRDefault="00B01A6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B01A6B" w:rsidRPr="007E7BDE" w:rsidRDefault="00B01A6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B01A6B" w:rsidRPr="007E7BDE" w:rsidRDefault="00B01A6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B01A6B" w:rsidRPr="00984034" w:rsidRDefault="00B01A6B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B01A6B" w:rsidRPr="007E7BDE" w:rsidRDefault="00B01A6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B01A6B" w:rsidRPr="007E7BDE" w:rsidRDefault="00B01A6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01A6B" w:rsidRPr="00984034" w:rsidRDefault="00B01A6B" w:rsidP="008776E3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B01A6B" w:rsidRDefault="00B01A6B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:rsidR="00B01A6B" w:rsidRDefault="00B01A6B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B01A6B" w:rsidRPr="00984034" w:rsidRDefault="00B01A6B" w:rsidP="00932BF7">
      <w:pPr>
        <w:adjustRightInd w:val="0"/>
        <w:ind w:firstLine="540"/>
        <w:jc w:val="both"/>
      </w:pPr>
      <w:r w:rsidRPr="002D5028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B01A6B" w:rsidRPr="00984034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28" w:rsidRDefault="002F2C28">
      <w:r>
        <w:separator/>
      </w:r>
    </w:p>
  </w:endnote>
  <w:endnote w:type="continuationSeparator" w:id="0">
    <w:p w:rsidR="002F2C28" w:rsidRDefault="002F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6B" w:rsidRDefault="00B01A6B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B01A6B" w:rsidRDefault="00B01A6B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6B" w:rsidRDefault="00B01A6B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4BDF">
      <w:rPr>
        <w:rStyle w:val="ab"/>
        <w:noProof/>
      </w:rPr>
      <w:t>3</w:t>
    </w:r>
    <w:r>
      <w:rPr>
        <w:rStyle w:val="ab"/>
      </w:rPr>
      <w:fldChar w:fldCharType="end"/>
    </w:r>
  </w:p>
  <w:p w:rsidR="00B01A6B" w:rsidRDefault="00B01A6B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28" w:rsidRDefault="002F2C28">
      <w:r>
        <w:separator/>
      </w:r>
    </w:p>
  </w:footnote>
  <w:footnote w:type="continuationSeparator" w:id="0">
    <w:p w:rsidR="002F2C28" w:rsidRDefault="002F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A98"/>
    <w:rsid w:val="00005435"/>
    <w:rsid w:val="00014116"/>
    <w:rsid w:val="0001465B"/>
    <w:rsid w:val="00020528"/>
    <w:rsid w:val="00020CBA"/>
    <w:rsid w:val="000233A2"/>
    <w:rsid w:val="00024BDF"/>
    <w:rsid w:val="00026FA4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3FE5"/>
    <w:rsid w:val="00054B01"/>
    <w:rsid w:val="00056DD4"/>
    <w:rsid w:val="00060D2A"/>
    <w:rsid w:val="0006149B"/>
    <w:rsid w:val="00062B25"/>
    <w:rsid w:val="000662B3"/>
    <w:rsid w:val="000728E1"/>
    <w:rsid w:val="0007406D"/>
    <w:rsid w:val="00074A87"/>
    <w:rsid w:val="00075893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4FF5"/>
    <w:rsid w:val="000A695A"/>
    <w:rsid w:val="000A6B62"/>
    <w:rsid w:val="000B2C9C"/>
    <w:rsid w:val="000B4E7A"/>
    <w:rsid w:val="000B5BC0"/>
    <w:rsid w:val="000C3217"/>
    <w:rsid w:val="000C6F81"/>
    <w:rsid w:val="000C7F83"/>
    <w:rsid w:val="000D50CA"/>
    <w:rsid w:val="000D563C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605C3"/>
    <w:rsid w:val="001605F1"/>
    <w:rsid w:val="001639E1"/>
    <w:rsid w:val="00164B35"/>
    <w:rsid w:val="00165853"/>
    <w:rsid w:val="00165B7A"/>
    <w:rsid w:val="00166C80"/>
    <w:rsid w:val="00173861"/>
    <w:rsid w:val="0017473F"/>
    <w:rsid w:val="00174A6D"/>
    <w:rsid w:val="001754E7"/>
    <w:rsid w:val="00183C58"/>
    <w:rsid w:val="001841DB"/>
    <w:rsid w:val="00187F5D"/>
    <w:rsid w:val="0019233F"/>
    <w:rsid w:val="00192D7A"/>
    <w:rsid w:val="001952CD"/>
    <w:rsid w:val="001A53B3"/>
    <w:rsid w:val="001A643B"/>
    <w:rsid w:val="001B0F65"/>
    <w:rsid w:val="001B24D4"/>
    <w:rsid w:val="001B42CA"/>
    <w:rsid w:val="001B6764"/>
    <w:rsid w:val="001C217B"/>
    <w:rsid w:val="001C2EAC"/>
    <w:rsid w:val="001C6136"/>
    <w:rsid w:val="001C64CA"/>
    <w:rsid w:val="001C6C0A"/>
    <w:rsid w:val="001D3090"/>
    <w:rsid w:val="001E22A0"/>
    <w:rsid w:val="001E2AD9"/>
    <w:rsid w:val="001E3D07"/>
    <w:rsid w:val="001E4076"/>
    <w:rsid w:val="001E5686"/>
    <w:rsid w:val="001E6653"/>
    <w:rsid w:val="001E6851"/>
    <w:rsid w:val="00200049"/>
    <w:rsid w:val="00200F2E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1FE5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772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2C28"/>
    <w:rsid w:val="002F56AD"/>
    <w:rsid w:val="002F6104"/>
    <w:rsid w:val="003024CA"/>
    <w:rsid w:val="003046A5"/>
    <w:rsid w:val="00305BF2"/>
    <w:rsid w:val="0030622D"/>
    <w:rsid w:val="00312EAF"/>
    <w:rsid w:val="00314E45"/>
    <w:rsid w:val="00331C61"/>
    <w:rsid w:val="003339D1"/>
    <w:rsid w:val="003346E2"/>
    <w:rsid w:val="00342C6D"/>
    <w:rsid w:val="00344174"/>
    <w:rsid w:val="003445D0"/>
    <w:rsid w:val="00345021"/>
    <w:rsid w:val="00346D1C"/>
    <w:rsid w:val="00347450"/>
    <w:rsid w:val="003512E9"/>
    <w:rsid w:val="00353432"/>
    <w:rsid w:val="003539BC"/>
    <w:rsid w:val="00353CB6"/>
    <w:rsid w:val="003567CC"/>
    <w:rsid w:val="00360758"/>
    <w:rsid w:val="00361EED"/>
    <w:rsid w:val="003644DA"/>
    <w:rsid w:val="003832E8"/>
    <w:rsid w:val="00384A8C"/>
    <w:rsid w:val="00392268"/>
    <w:rsid w:val="00392918"/>
    <w:rsid w:val="003A1439"/>
    <w:rsid w:val="003A2C0C"/>
    <w:rsid w:val="003A317F"/>
    <w:rsid w:val="003A4CE8"/>
    <w:rsid w:val="003B2F0F"/>
    <w:rsid w:val="003B3AEC"/>
    <w:rsid w:val="003B6075"/>
    <w:rsid w:val="003C05DD"/>
    <w:rsid w:val="003C46FF"/>
    <w:rsid w:val="003C4B6D"/>
    <w:rsid w:val="003C4E91"/>
    <w:rsid w:val="003D0A5E"/>
    <w:rsid w:val="003E4A19"/>
    <w:rsid w:val="003E702C"/>
    <w:rsid w:val="003E7340"/>
    <w:rsid w:val="003F0E4C"/>
    <w:rsid w:val="003F351F"/>
    <w:rsid w:val="003F3698"/>
    <w:rsid w:val="003F4305"/>
    <w:rsid w:val="003F5BAB"/>
    <w:rsid w:val="00404A56"/>
    <w:rsid w:val="004068E6"/>
    <w:rsid w:val="00410ED6"/>
    <w:rsid w:val="0041301E"/>
    <w:rsid w:val="0041646F"/>
    <w:rsid w:val="00421BA2"/>
    <w:rsid w:val="004247B9"/>
    <w:rsid w:val="0043586F"/>
    <w:rsid w:val="00436771"/>
    <w:rsid w:val="0043777C"/>
    <w:rsid w:val="00441F90"/>
    <w:rsid w:val="00446B31"/>
    <w:rsid w:val="0044709B"/>
    <w:rsid w:val="00454242"/>
    <w:rsid w:val="00456432"/>
    <w:rsid w:val="004569C8"/>
    <w:rsid w:val="00457F77"/>
    <w:rsid w:val="00467253"/>
    <w:rsid w:val="00471361"/>
    <w:rsid w:val="0047412B"/>
    <w:rsid w:val="0047681D"/>
    <w:rsid w:val="00480B3E"/>
    <w:rsid w:val="00485CEF"/>
    <w:rsid w:val="00485E2B"/>
    <w:rsid w:val="00492E55"/>
    <w:rsid w:val="00493D42"/>
    <w:rsid w:val="004950C8"/>
    <w:rsid w:val="0049586C"/>
    <w:rsid w:val="004A0E13"/>
    <w:rsid w:val="004A0E33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DA"/>
    <w:rsid w:val="004E3CBB"/>
    <w:rsid w:val="004E4CE7"/>
    <w:rsid w:val="004F3812"/>
    <w:rsid w:val="004F6B6E"/>
    <w:rsid w:val="004F70F9"/>
    <w:rsid w:val="00503B08"/>
    <w:rsid w:val="0050465D"/>
    <w:rsid w:val="00511DDB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74D4"/>
    <w:rsid w:val="00540BD7"/>
    <w:rsid w:val="00543BFA"/>
    <w:rsid w:val="00544047"/>
    <w:rsid w:val="00545A41"/>
    <w:rsid w:val="00550713"/>
    <w:rsid w:val="005617BF"/>
    <w:rsid w:val="00571567"/>
    <w:rsid w:val="00572331"/>
    <w:rsid w:val="00574203"/>
    <w:rsid w:val="00576425"/>
    <w:rsid w:val="00577A0E"/>
    <w:rsid w:val="0058011D"/>
    <w:rsid w:val="0058142C"/>
    <w:rsid w:val="00586337"/>
    <w:rsid w:val="00586DC1"/>
    <w:rsid w:val="005903F8"/>
    <w:rsid w:val="005908EB"/>
    <w:rsid w:val="00593893"/>
    <w:rsid w:val="005938DA"/>
    <w:rsid w:val="0059660F"/>
    <w:rsid w:val="005A0941"/>
    <w:rsid w:val="005A1E9C"/>
    <w:rsid w:val="005A3E27"/>
    <w:rsid w:val="005A6236"/>
    <w:rsid w:val="005A64DA"/>
    <w:rsid w:val="005B01C0"/>
    <w:rsid w:val="005B0751"/>
    <w:rsid w:val="005B181E"/>
    <w:rsid w:val="005C0475"/>
    <w:rsid w:val="005C46A7"/>
    <w:rsid w:val="005C4B45"/>
    <w:rsid w:val="005D290A"/>
    <w:rsid w:val="005D4595"/>
    <w:rsid w:val="005D4CF1"/>
    <w:rsid w:val="005D589A"/>
    <w:rsid w:val="005D5F17"/>
    <w:rsid w:val="005E0DAB"/>
    <w:rsid w:val="005E4E3D"/>
    <w:rsid w:val="005E7B33"/>
    <w:rsid w:val="005F2D64"/>
    <w:rsid w:val="005F4CA1"/>
    <w:rsid w:val="005F6AA2"/>
    <w:rsid w:val="00600FBD"/>
    <w:rsid w:val="006074DA"/>
    <w:rsid w:val="00610504"/>
    <w:rsid w:val="00611492"/>
    <w:rsid w:val="00612A4F"/>
    <w:rsid w:val="00620B9D"/>
    <w:rsid w:val="00625290"/>
    <w:rsid w:val="006261DC"/>
    <w:rsid w:val="0062665D"/>
    <w:rsid w:val="006316BA"/>
    <w:rsid w:val="00631AAE"/>
    <w:rsid w:val="00635201"/>
    <w:rsid w:val="00635B0E"/>
    <w:rsid w:val="00637B67"/>
    <w:rsid w:val="00643AFE"/>
    <w:rsid w:val="006443C3"/>
    <w:rsid w:val="006503DB"/>
    <w:rsid w:val="006526F4"/>
    <w:rsid w:val="0065305D"/>
    <w:rsid w:val="0065473C"/>
    <w:rsid w:val="00655A96"/>
    <w:rsid w:val="00660F69"/>
    <w:rsid w:val="00662784"/>
    <w:rsid w:val="00663146"/>
    <w:rsid w:val="00664546"/>
    <w:rsid w:val="00665F71"/>
    <w:rsid w:val="006674D3"/>
    <w:rsid w:val="006711E7"/>
    <w:rsid w:val="00671397"/>
    <w:rsid w:val="00672C45"/>
    <w:rsid w:val="00673F39"/>
    <w:rsid w:val="00675291"/>
    <w:rsid w:val="00676D5B"/>
    <w:rsid w:val="00676F35"/>
    <w:rsid w:val="0068105F"/>
    <w:rsid w:val="0068525C"/>
    <w:rsid w:val="0068721C"/>
    <w:rsid w:val="0069225D"/>
    <w:rsid w:val="00695947"/>
    <w:rsid w:val="006A04C7"/>
    <w:rsid w:val="006A61B8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29F0"/>
    <w:rsid w:val="006E6DFF"/>
    <w:rsid w:val="006E7BFD"/>
    <w:rsid w:val="006F0D3E"/>
    <w:rsid w:val="006F6942"/>
    <w:rsid w:val="00707602"/>
    <w:rsid w:val="00707B21"/>
    <w:rsid w:val="00711D31"/>
    <w:rsid w:val="00712BA8"/>
    <w:rsid w:val="007162AB"/>
    <w:rsid w:val="00720AC7"/>
    <w:rsid w:val="00726B6C"/>
    <w:rsid w:val="00727753"/>
    <w:rsid w:val="00732D28"/>
    <w:rsid w:val="00735539"/>
    <w:rsid w:val="00736BDD"/>
    <w:rsid w:val="00742810"/>
    <w:rsid w:val="00747495"/>
    <w:rsid w:val="00754432"/>
    <w:rsid w:val="00760C62"/>
    <w:rsid w:val="0076231B"/>
    <w:rsid w:val="00762524"/>
    <w:rsid w:val="0077189B"/>
    <w:rsid w:val="00772C5B"/>
    <w:rsid w:val="00773C69"/>
    <w:rsid w:val="00774401"/>
    <w:rsid w:val="007759A8"/>
    <w:rsid w:val="007761CC"/>
    <w:rsid w:val="00777DB5"/>
    <w:rsid w:val="007800AA"/>
    <w:rsid w:val="00782EB8"/>
    <w:rsid w:val="00783F65"/>
    <w:rsid w:val="00784C18"/>
    <w:rsid w:val="007874A7"/>
    <w:rsid w:val="007916A2"/>
    <w:rsid w:val="00793684"/>
    <w:rsid w:val="007A08FD"/>
    <w:rsid w:val="007A565F"/>
    <w:rsid w:val="007A62AD"/>
    <w:rsid w:val="007A69F4"/>
    <w:rsid w:val="007A6CAF"/>
    <w:rsid w:val="007A790C"/>
    <w:rsid w:val="007B3B43"/>
    <w:rsid w:val="007B64C1"/>
    <w:rsid w:val="007C0AD1"/>
    <w:rsid w:val="007C302A"/>
    <w:rsid w:val="007C5B88"/>
    <w:rsid w:val="007C611D"/>
    <w:rsid w:val="007D0836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79E"/>
    <w:rsid w:val="00855F1B"/>
    <w:rsid w:val="00860159"/>
    <w:rsid w:val="00861BA8"/>
    <w:rsid w:val="00862D4C"/>
    <w:rsid w:val="00863CA2"/>
    <w:rsid w:val="00864431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89F"/>
    <w:rsid w:val="008A74CF"/>
    <w:rsid w:val="008A7883"/>
    <w:rsid w:val="008B334F"/>
    <w:rsid w:val="008B3489"/>
    <w:rsid w:val="008B5391"/>
    <w:rsid w:val="008C283F"/>
    <w:rsid w:val="008C77FD"/>
    <w:rsid w:val="008D1927"/>
    <w:rsid w:val="008D2C4E"/>
    <w:rsid w:val="008D333F"/>
    <w:rsid w:val="008E5697"/>
    <w:rsid w:val="008F2B7A"/>
    <w:rsid w:val="008F3865"/>
    <w:rsid w:val="008F55E1"/>
    <w:rsid w:val="008F685A"/>
    <w:rsid w:val="009006A1"/>
    <w:rsid w:val="0090100A"/>
    <w:rsid w:val="0090124C"/>
    <w:rsid w:val="0090582C"/>
    <w:rsid w:val="009065DB"/>
    <w:rsid w:val="00907A0D"/>
    <w:rsid w:val="00915BB1"/>
    <w:rsid w:val="00915C86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557B"/>
    <w:rsid w:val="00940E22"/>
    <w:rsid w:val="00941E19"/>
    <w:rsid w:val="00944324"/>
    <w:rsid w:val="009510BE"/>
    <w:rsid w:val="009511A1"/>
    <w:rsid w:val="00951765"/>
    <w:rsid w:val="00951F73"/>
    <w:rsid w:val="00955BC4"/>
    <w:rsid w:val="00955FA9"/>
    <w:rsid w:val="009577A3"/>
    <w:rsid w:val="00972AD2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71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391A"/>
    <w:rsid w:val="00A14FCC"/>
    <w:rsid w:val="00A2027F"/>
    <w:rsid w:val="00A20A65"/>
    <w:rsid w:val="00A25E73"/>
    <w:rsid w:val="00A3066B"/>
    <w:rsid w:val="00A33AF2"/>
    <w:rsid w:val="00A34203"/>
    <w:rsid w:val="00A347BD"/>
    <w:rsid w:val="00A34A89"/>
    <w:rsid w:val="00A35EC2"/>
    <w:rsid w:val="00A3745B"/>
    <w:rsid w:val="00A40D96"/>
    <w:rsid w:val="00A42C1D"/>
    <w:rsid w:val="00A44631"/>
    <w:rsid w:val="00A4587B"/>
    <w:rsid w:val="00A5192B"/>
    <w:rsid w:val="00A52B7B"/>
    <w:rsid w:val="00A57D76"/>
    <w:rsid w:val="00A60BAD"/>
    <w:rsid w:val="00A619F4"/>
    <w:rsid w:val="00A64D01"/>
    <w:rsid w:val="00A70788"/>
    <w:rsid w:val="00A738F6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7F8E"/>
    <w:rsid w:val="00AA1F37"/>
    <w:rsid w:val="00AA2384"/>
    <w:rsid w:val="00AA23D8"/>
    <w:rsid w:val="00AA449D"/>
    <w:rsid w:val="00AA76A3"/>
    <w:rsid w:val="00AB5E60"/>
    <w:rsid w:val="00AB639B"/>
    <w:rsid w:val="00AC2FFB"/>
    <w:rsid w:val="00AC61E7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768D"/>
    <w:rsid w:val="00AF7C9D"/>
    <w:rsid w:val="00AF7E46"/>
    <w:rsid w:val="00B01A6B"/>
    <w:rsid w:val="00B04DD9"/>
    <w:rsid w:val="00B066BF"/>
    <w:rsid w:val="00B06765"/>
    <w:rsid w:val="00B106DE"/>
    <w:rsid w:val="00B113B4"/>
    <w:rsid w:val="00B113BF"/>
    <w:rsid w:val="00B15E29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41014"/>
    <w:rsid w:val="00B468B9"/>
    <w:rsid w:val="00B5178F"/>
    <w:rsid w:val="00B53028"/>
    <w:rsid w:val="00B55F42"/>
    <w:rsid w:val="00B57AAA"/>
    <w:rsid w:val="00B60B56"/>
    <w:rsid w:val="00B626F4"/>
    <w:rsid w:val="00B6365B"/>
    <w:rsid w:val="00B661FE"/>
    <w:rsid w:val="00B7007B"/>
    <w:rsid w:val="00B719BD"/>
    <w:rsid w:val="00B722F5"/>
    <w:rsid w:val="00B7605D"/>
    <w:rsid w:val="00B76B93"/>
    <w:rsid w:val="00B76B9D"/>
    <w:rsid w:val="00B77A38"/>
    <w:rsid w:val="00B77DA8"/>
    <w:rsid w:val="00B77FBC"/>
    <w:rsid w:val="00B80CEA"/>
    <w:rsid w:val="00B814C9"/>
    <w:rsid w:val="00B81E00"/>
    <w:rsid w:val="00B82932"/>
    <w:rsid w:val="00B83109"/>
    <w:rsid w:val="00B90F3C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6C7E"/>
    <w:rsid w:val="00C41E18"/>
    <w:rsid w:val="00C42E7B"/>
    <w:rsid w:val="00C4310A"/>
    <w:rsid w:val="00C445CC"/>
    <w:rsid w:val="00C46601"/>
    <w:rsid w:val="00C5450B"/>
    <w:rsid w:val="00C55294"/>
    <w:rsid w:val="00C56467"/>
    <w:rsid w:val="00C56EC5"/>
    <w:rsid w:val="00C57FBB"/>
    <w:rsid w:val="00C620BE"/>
    <w:rsid w:val="00C63738"/>
    <w:rsid w:val="00C6490D"/>
    <w:rsid w:val="00C649DF"/>
    <w:rsid w:val="00C65088"/>
    <w:rsid w:val="00C6565F"/>
    <w:rsid w:val="00C6634C"/>
    <w:rsid w:val="00C72E1D"/>
    <w:rsid w:val="00C76D58"/>
    <w:rsid w:val="00C848BD"/>
    <w:rsid w:val="00C86E84"/>
    <w:rsid w:val="00C90BAE"/>
    <w:rsid w:val="00C91549"/>
    <w:rsid w:val="00C91BFE"/>
    <w:rsid w:val="00C92824"/>
    <w:rsid w:val="00C92E0D"/>
    <w:rsid w:val="00C9427F"/>
    <w:rsid w:val="00C95F17"/>
    <w:rsid w:val="00CA308F"/>
    <w:rsid w:val="00CA4575"/>
    <w:rsid w:val="00CB10B6"/>
    <w:rsid w:val="00CB437F"/>
    <w:rsid w:val="00CC1AE5"/>
    <w:rsid w:val="00CD1592"/>
    <w:rsid w:val="00CD235A"/>
    <w:rsid w:val="00CD57F6"/>
    <w:rsid w:val="00CE227F"/>
    <w:rsid w:val="00CE5EBA"/>
    <w:rsid w:val="00CE6A6D"/>
    <w:rsid w:val="00CF0B99"/>
    <w:rsid w:val="00CF1050"/>
    <w:rsid w:val="00CF18F7"/>
    <w:rsid w:val="00CF2753"/>
    <w:rsid w:val="00D003E5"/>
    <w:rsid w:val="00D01661"/>
    <w:rsid w:val="00D04727"/>
    <w:rsid w:val="00D0741F"/>
    <w:rsid w:val="00D135B7"/>
    <w:rsid w:val="00D152F0"/>
    <w:rsid w:val="00D22BCB"/>
    <w:rsid w:val="00D23791"/>
    <w:rsid w:val="00D25F34"/>
    <w:rsid w:val="00D27382"/>
    <w:rsid w:val="00D30FA8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75F2"/>
    <w:rsid w:val="00D90FE4"/>
    <w:rsid w:val="00D931A6"/>
    <w:rsid w:val="00D951DA"/>
    <w:rsid w:val="00D97C3D"/>
    <w:rsid w:val="00DA25A9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131E"/>
    <w:rsid w:val="00DD28AB"/>
    <w:rsid w:val="00DD324D"/>
    <w:rsid w:val="00DD4EB2"/>
    <w:rsid w:val="00DE0E72"/>
    <w:rsid w:val="00DE1AB5"/>
    <w:rsid w:val="00DE37F7"/>
    <w:rsid w:val="00DE3B2E"/>
    <w:rsid w:val="00DE7531"/>
    <w:rsid w:val="00DE78AB"/>
    <w:rsid w:val="00DF0A2C"/>
    <w:rsid w:val="00DF1C45"/>
    <w:rsid w:val="00DF5B51"/>
    <w:rsid w:val="00E02A82"/>
    <w:rsid w:val="00E06FC7"/>
    <w:rsid w:val="00E0742D"/>
    <w:rsid w:val="00E07A93"/>
    <w:rsid w:val="00E1106C"/>
    <w:rsid w:val="00E11179"/>
    <w:rsid w:val="00E12611"/>
    <w:rsid w:val="00E14307"/>
    <w:rsid w:val="00E15A43"/>
    <w:rsid w:val="00E16E17"/>
    <w:rsid w:val="00E176DE"/>
    <w:rsid w:val="00E20A7E"/>
    <w:rsid w:val="00E21AEB"/>
    <w:rsid w:val="00E3136A"/>
    <w:rsid w:val="00E34AA0"/>
    <w:rsid w:val="00E34C86"/>
    <w:rsid w:val="00E379D3"/>
    <w:rsid w:val="00E40C1E"/>
    <w:rsid w:val="00E440F3"/>
    <w:rsid w:val="00E46E60"/>
    <w:rsid w:val="00E50995"/>
    <w:rsid w:val="00E5236E"/>
    <w:rsid w:val="00E606F6"/>
    <w:rsid w:val="00E61763"/>
    <w:rsid w:val="00E64A47"/>
    <w:rsid w:val="00E6551D"/>
    <w:rsid w:val="00E65CC5"/>
    <w:rsid w:val="00E73311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5502"/>
    <w:rsid w:val="00EB5ECA"/>
    <w:rsid w:val="00EB718C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829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6242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41EC"/>
    <w:rsid w:val="00F36D74"/>
    <w:rsid w:val="00F37FEB"/>
    <w:rsid w:val="00F4182D"/>
    <w:rsid w:val="00F41967"/>
    <w:rsid w:val="00F465E3"/>
    <w:rsid w:val="00F47677"/>
    <w:rsid w:val="00F530C0"/>
    <w:rsid w:val="00F53582"/>
    <w:rsid w:val="00F57A57"/>
    <w:rsid w:val="00F57D28"/>
    <w:rsid w:val="00F610ED"/>
    <w:rsid w:val="00F61C3E"/>
    <w:rsid w:val="00F645DC"/>
    <w:rsid w:val="00F648B8"/>
    <w:rsid w:val="00F66380"/>
    <w:rsid w:val="00F67D0C"/>
    <w:rsid w:val="00F71085"/>
    <w:rsid w:val="00F81B57"/>
    <w:rsid w:val="00F934B5"/>
    <w:rsid w:val="00FA115E"/>
    <w:rsid w:val="00FA3CB5"/>
    <w:rsid w:val="00FA4DFF"/>
    <w:rsid w:val="00FA56D1"/>
    <w:rsid w:val="00FB22B1"/>
    <w:rsid w:val="00FB4AE6"/>
    <w:rsid w:val="00FB7FE9"/>
    <w:rsid w:val="00FC0A96"/>
    <w:rsid w:val="00FC3C66"/>
    <w:rsid w:val="00FC585B"/>
    <w:rsid w:val="00FC5AC3"/>
    <w:rsid w:val="00FD3B15"/>
    <w:rsid w:val="00FD6518"/>
    <w:rsid w:val="00FD6ED1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5C7261-0087-4636-87FE-D06C8721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28202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2018-01-15T08:27:00Z</cp:lastPrinted>
  <dcterms:created xsi:type="dcterms:W3CDTF">2018-01-16T09:14:00Z</dcterms:created>
  <dcterms:modified xsi:type="dcterms:W3CDTF">2018-01-16T09:14:00Z</dcterms:modified>
</cp:coreProperties>
</file>