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F69E6" w:rsidRPr="00A95484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A95484">
              <w:rPr>
                <w:sz w:val="18"/>
                <w:szCs w:val="18"/>
              </w:rPr>
              <w:t>Допущены к торгам на</w:t>
            </w:r>
          </w:p>
          <w:p w:rsidR="004F69E6" w:rsidRPr="00A95484" w:rsidRDefault="004F69E6" w:rsidP="00B72747">
            <w:pPr>
              <w:rPr>
                <w:sz w:val="18"/>
                <w:szCs w:val="18"/>
              </w:rPr>
            </w:pPr>
            <w:r w:rsidRPr="00A95484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C332F6" w:rsidRDefault="00C332F6" w:rsidP="00B72747">
            <w:pPr>
              <w:rPr>
                <w:lang w:val="en-US"/>
              </w:rPr>
            </w:pPr>
            <w:r w:rsidRPr="00C332F6"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C332F6" w:rsidRDefault="00C332F6" w:rsidP="00B72747">
            <w:pPr>
              <w:rPr>
                <w:lang w:val="en-US"/>
              </w:rPr>
            </w:pPr>
            <w:r>
              <w:t>сентября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>
            <w:r w:rsidRPr="00A95484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A95484" w:rsidRDefault="009661BE" w:rsidP="00B72747">
            <w:pPr>
              <w:rPr>
                <w:lang w:val="en-US"/>
              </w:rPr>
            </w:pPr>
            <w:r w:rsidRPr="00A95484"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>
            <w:r w:rsidRPr="00A95484">
              <w:t>г.</w:t>
            </w:r>
          </w:p>
        </w:tc>
      </w:tr>
    </w:tbl>
    <w:p w:rsidR="004F69E6" w:rsidRPr="00A95484" w:rsidRDefault="004F69E6" w:rsidP="004F69E6">
      <w:pPr>
        <w:jc w:val="right"/>
      </w:pPr>
    </w:p>
    <w:p w:rsidR="004F69E6" w:rsidRPr="00A95484" w:rsidRDefault="004F69E6" w:rsidP="004F69E6">
      <w:pPr>
        <w:jc w:val="right"/>
      </w:pPr>
      <w:r w:rsidRPr="00A95484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90201" w:rsidRPr="00A95484" w:rsidTr="00B72747">
        <w:trPr>
          <w:trHeight w:val="340"/>
          <w:jc w:val="right"/>
        </w:trPr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E90201" w:rsidRPr="00A95484" w:rsidRDefault="00C332F6" w:rsidP="00B72747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B2144D" w:rsidRPr="00A95484" w:rsidRDefault="00B2144D" w:rsidP="004F69E6">
      <w:pPr>
        <w:ind w:left="2552"/>
        <w:jc w:val="center"/>
        <w:rPr>
          <w:b/>
          <w:lang w:val="en-US"/>
        </w:rPr>
      </w:pPr>
    </w:p>
    <w:p w:rsidR="004F69E6" w:rsidRPr="00A95484" w:rsidRDefault="004F69E6" w:rsidP="004F69E6">
      <w:pPr>
        <w:ind w:left="2552"/>
        <w:jc w:val="center"/>
        <w:rPr>
          <w:b/>
        </w:rPr>
      </w:pPr>
      <w:r w:rsidRPr="00A95484">
        <w:rPr>
          <w:b/>
        </w:rPr>
        <w:t>ПАО Московская Биржа</w:t>
      </w:r>
    </w:p>
    <w:p w:rsidR="004F69E6" w:rsidRPr="00A95484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A95484">
        <w:t>(</w:t>
      </w:r>
      <w:r w:rsidRPr="00A95484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4F69E6" w:rsidRPr="00A95484" w:rsidRDefault="004F69E6" w:rsidP="004F69E6">
      <w:pPr>
        <w:ind w:left="2552" w:right="-2"/>
        <w:jc w:val="center"/>
        <w:rPr>
          <w:sz w:val="24"/>
          <w:szCs w:val="24"/>
        </w:rPr>
      </w:pPr>
    </w:p>
    <w:p w:rsidR="004F69E6" w:rsidRPr="00A95484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A95484">
        <w:t>(</w:t>
      </w:r>
      <w:r w:rsidRPr="00A95484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A95484">
        <w:t>)</w:t>
      </w:r>
    </w:p>
    <w:p w:rsidR="004F69E6" w:rsidRPr="00A95484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A95484">
        <w:rPr>
          <w:sz w:val="18"/>
          <w:szCs w:val="18"/>
        </w:rPr>
        <w:t>(печать)</w:t>
      </w:r>
    </w:p>
    <w:p w:rsidR="004F69E6" w:rsidRPr="00A95484" w:rsidRDefault="004F69E6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B72747" w:rsidRPr="00A95484" w:rsidRDefault="00B72747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4F69E6" w:rsidRPr="00A95484" w:rsidRDefault="004F69E6" w:rsidP="004F69E6">
      <w:pPr>
        <w:jc w:val="center"/>
        <w:rPr>
          <w:sz w:val="32"/>
          <w:szCs w:val="32"/>
          <w:lang w:eastAsia="ja-JP"/>
        </w:rPr>
      </w:pPr>
      <w:r w:rsidRPr="00A95484">
        <w:rPr>
          <w:sz w:val="32"/>
          <w:szCs w:val="32"/>
        </w:rPr>
        <w:t xml:space="preserve">УСЛОВИЯ ВЫПУСКА </w:t>
      </w:r>
      <w:r w:rsidR="00B72747" w:rsidRPr="00A95484">
        <w:rPr>
          <w:sz w:val="32"/>
          <w:szCs w:val="32"/>
        </w:rPr>
        <w:br/>
      </w:r>
      <w:r w:rsidRPr="00A95484">
        <w:rPr>
          <w:sz w:val="32"/>
          <w:szCs w:val="32"/>
        </w:rPr>
        <w:t xml:space="preserve">БИРЖЕВЫХ ОБЛИГАЦИЙ </w:t>
      </w:r>
      <w:r w:rsidRPr="00A95484">
        <w:rPr>
          <w:rFonts w:hint="eastAsia"/>
          <w:sz w:val="32"/>
          <w:szCs w:val="32"/>
        </w:rPr>
        <w:br/>
      </w:r>
      <w:r w:rsidRPr="00A95484">
        <w:rPr>
          <w:sz w:val="32"/>
          <w:szCs w:val="32"/>
        </w:rPr>
        <w:t>В РАМКАХ ПРОГРАММЫ БИРЖЕВЫХ ОБЛИГАЦИЙ</w:t>
      </w:r>
      <w:r w:rsidRPr="00A95484">
        <w:rPr>
          <w:rFonts w:hint="eastAsia"/>
          <w:sz w:val="32"/>
          <w:szCs w:val="32"/>
          <w:lang w:eastAsia="ja-JP"/>
        </w:rPr>
        <w:br/>
      </w:r>
    </w:p>
    <w:p w:rsidR="00B2144D" w:rsidRPr="00A95484" w:rsidRDefault="00B2144D" w:rsidP="004F69E6">
      <w:pPr>
        <w:jc w:val="center"/>
        <w:rPr>
          <w:sz w:val="32"/>
          <w:szCs w:val="32"/>
          <w:lang w:eastAsia="ja-JP"/>
        </w:rPr>
      </w:pPr>
    </w:p>
    <w:p w:rsidR="004F69E6" w:rsidRPr="00A95484" w:rsidRDefault="00141627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A95484">
        <w:rPr>
          <w:b/>
          <w:sz w:val="28"/>
          <w:szCs w:val="28"/>
        </w:rPr>
        <w:t>Акционерное общество «Тинькофф Банк»</w:t>
      </w:r>
    </w:p>
    <w:p w:rsidR="004F69E6" w:rsidRPr="00A95484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4F69E6" w:rsidRPr="00A95484" w:rsidRDefault="004F69E6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A95484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AD62A6" w:rsidRPr="00A95484">
        <w:rPr>
          <w:b/>
          <w:bCs/>
          <w:i/>
          <w:iCs/>
          <w:sz w:val="24"/>
          <w:szCs w:val="24"/>
        </w:rPr>
        <w:t>001Р-03R</w:t>
      </w:r>
      <w:r w:rsidRPr="00A95484">
        <w:rPr>
          <w:b/>
          <w:bCs/>
          <w:i/>
          <w:iCs/>
          <w:sz w:val="24"/>
          <w:szCs w:val="24"/>
        </w:rPr>
        <w:t xml:space="preserve"> в количестве </w:t>
      </w:r>
      <w:r w:rsidR="00023794" w:rsidRPr="00A95484">
        <w:rPr>
          <w:b/>
          <w:bCs/>
          <w:i/>
          <w:iCs/>
          <w:sz w:val="24"/>
          <w:szCs w:val="24"/>
        </w:rPr>
        <w:t>10 000 000 (Десять</w:t>
      </w:r>
      <w:r w:rsidR="00506666" w:rsidRPr="00A95484">
        <w:rPr>
          <w:b/>
          <w:bCs/>
          <w:i/>
          <w:iCs/>
          <w:sz w:val="24"/>
          <w:szCs w:val="24"/>
        </w:rPr>
        <w:t xml:space="preserve"> миллионов)</w:t>
      </w:r>
      <w:r w:rsidRPr="00A95484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023794" w:rsidRPr="00A95484">
        <w:rPr>
          <w:b/>
          <w:bCs/>
          <w:i/>
          <w:iCs/>
          <w:sz w:val="24"/>
          <w:szCs w:val="24"/>
        </w:rPr>
        <w:t>10 000 000 000 (Десять</w:t>
      </w:r>
      <w:r w:rsidR="00506666" w:rsidRPr="00A95484">
        <w:rPr>
          <w:b/>
          <w:bCs/>
          <w:i/>
          <w:iCs/>
          <w:sz w:val="24"/>
          <w:szCs w:val="24"/>
        </w:rPr>
        <w:t xml:space="preserve"> миллиардов)</w:t>
      </w:r>
      <w:r w:rsidRPr="00A95484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E90201" w:rsidRPr="00A95484">
        <w:rPr>
          <w:b/>
          <w:bCs/>
          <w:i/>
          <w:iCs/>
          <w:sz w:val="24"/>
          <w:szCs w:val="24"/>
        </w:rPr>
        <w:t>3 640 (Три тысячи шестьсот сороковой</w:t>
      </w:r>
      <w:r w:rsidR="00873CCA" w:rsidRPr="00A95484">
        <w:rPr>
          <w:b/>
          <w:bCs/>
          <w:i/>
          <w:iCs/>
          <w:sz w:val="24"/>
          <w:szCs w:val="24"/>
        </w:rPr>
        <w:t>)</w:t>
      </w:r>
      <w:r w:rsidRPr="00A95484">
        <w:rPr>
          <w:b/>
          <w:bCs/>
          <w:i/>
          <w:iCs/>
          <w:sz w:val="24"/>
          <w:szCs w:val="24"/>
        </w:rPr>
        <w:t xml:space="preserve"> день с даты начала размещения биржевых облигаций, размещаемые по отрытой подписке</w:t>
      </w:r>
    </w:p>
    <w:p w:rsidR="004F69E6" w:rsidRPr="00A95484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:rsidR="00FD5743" w:rsidRPr="00A95484" w:rsidRDefault="004F69E6" w:rsidP="004F69E6">
      <w:pPr>
        <w:jc w:val="center"/>
        <w:rPr>
          <w:b/>
          <w:bCs/>
          <w:i/>
          <w:sz w:val="24"/>
          <w:szCs w:val="24"/>
        </w:rPr>
      </w:pPr>
      <w:r w:rsidRPr="00A95484">
        <w:rPr>
          <w:b/>
          <w:bCs/>
          <w:i/>
          <w:sz w:val="24"/>
          <w:szCs w:val="24"/>
        </w:rPr>
        <w:t xml:space="preserve">Программа </w:t>
      </w:r>
      <w:r w:rsidRPr="00A95484">
        <w:rPr>
          <w:b/>
          <w:bCs/>
          <w:i/>
          <w:sz w:val="24"/>
          <w:szCs w:val="24"/>
        </w:rPr>
        <w:br/>
        <w:t xml:space="preserve">биржевых </w:t>
      </w:r>
      <w:r w:rsidR="00F235CE" w:rsidRPr="00A95484">
        <w:rPr>
          <w:b/>
          <w:bCs/>
          <w:i/>
          <w:sz w:val="24"/>
          <w:szCs w:val="24"/>
        </w:rPr>
        <w:t xml:space="preserve">облигаций документарных процентных неконвертируемых </w:t>
      </w:r>
      <w:r w:rsidR="00873CCA" w:rsidRPr="00A95484">
        <w:rPr>
          <w:b/>
          <w:bCs/>
          <w:i/>
          <w:sz w:val="24"/>
          <w:szCs w:val="24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Pr="00A95484">
        <w:rPr>
          <w:b/>
          <w:bCs/>
          <w:i/>
          <w:sz w:val="24"/>
          <w:szCs w:val="24"/>
        </w:rPr>
        <w:t>, имеющая</w:t>
      </w:r>
      <w:r w:rsidR="00F235CE" w:rsidRPr="00A95484">
        <w:rPr>
          <w:b/>
          <w:bCs/>
          <w:i/>
          <w:sz w:val="24"/>
          <w:szCs w:val="24"/>
        </w:rPr>
        <w:t xml:space="preserve"> идентификационный номер </w:t>
      </w:r>
    </w:p>
    <w:p w:rsidR="004F69E6" w:rsidRPr="00A95484" w:rsidRDefault="00141627" w:rsidP="004F69E6">
      <w:pPr>
        <w:jc w:val="center"/>
        <w:rPr>
          <w:b/>
          <w:bCs/>
          <w:i/>
          <w:sz w:val="24"/>
          <w:szCs w:val="24"/>
        </w:rPr>
      </w:pPr>
      <w:r w:rsidRPr="00A95484">
        <w:rPr>
          <w:b/>
          <w:bCs/>
          <w:i/>
          <w:sz w:val="24"/>
          <w:szCs w:val="24"/>
        </w:rPr>
        <w:t>402673B001P02E от 24.03.2017</w:t>
      </w:r>
    </w:p>
    <w:p w:rsidR="00987FD5" w:rsidRPr="00A95484" w:rsidRDefault="00987FD5" w:rsidP="00B2144D">
      <w:pPr>
        <w:pBdr>
          <w:top w:val="single" w:sz="4" w:space="1" w:color="auto"/>
        </w:pBdr>
        <w:rPr>
          <w:szCs w:val="22"/>
        </w:rPr>
      </w:pPr>
    </w:p>
    <w:p w:rsidR="004F69E6" w:rsidRPr="00A95484" w:rsidRDefault="004F69E6" w:rsidP="00B2144D">
      <w:pPr>
        <w:jc w:val="both"/>
        <w:rPr>
          <w:szCs w:val="22"/>
        </w:rPr>
      </w:pPr>
      <w:r w:rsidRPr="00A95484">
        <w:rPr>
          <w:szCs w:val="22"/>
        </w:rPr>
        <w:t xml:space="preserve">Серия программы биржевых облигаций: </w:t>
      </w:r>
      <w:r w:rsidRPr="00A95484">
        <w:rPr>
          <w:b/>
          <w:bCs/>
          <w:i/>
          <w:iCs/>
        </w:rPr>
        <w:t>001Р</w:t>
      </w:r>
    </w:p>
    <w:p w:rsidR="00987FD5" w:rsidRPr="00A95484" w:rsidRDefault="00987FD5" w:rsidP="004F69E6">
      <w:pPr>
        <w:jc w:val="both"/>
        <w:rPr>
          <w:lang w:eastAsia="ja-JP"/>
        </w:rPr>
      </w:pPr>
    </w:p>
    <w:p w:rsidR="004F69E6" w:rsidRPr="00A95484" w:rsidRDefault="004F69E6" w:rsidP="004F69E6">
      <w:pPr>
        <w:jc w:val="both"/>
      </w:pPr>
      <w:r w:rsidRPr="00A95484">
        <w:t xml:space="preserve">Утверждены решением </w:t>
      </w:r>
      <w:r w:rsidR="00457370" w:rsidRPr="00A95484">
        <w:t>Председателя Правления</w:t>
      </w:r>
      <w:r w:rsidRPr="00A95484">
        <w:t xml:space="preserve"> </w:t>
      </w:r>
      <w:r w:rsidR="00457370" w:rsidRPr="00A95484">
        <w:t>Акционерного общества «Тинькофф Банк»</w:t>
      </w:r>
      <w:r w:rsidRPr="00A95484">
        <w:t>, принятым «</w:t>
      </w:r>
      <w:r w:rsidR="00A95484" w:rsidRPr="00A95484">
        <w:rPr>
          <w:lang w:eastAsia="ja-JP"/>
        </w:rPr>
        <w:t>17</w:t>
      </w:r>
      <w:r w:rsidR="0008744C" w:rsidRPr="00A95484">
        <w:t xml:space="preserve">» </w:t>
      </w:r>
      <w:r w:rsidR="00AD62A6" w:rsidRPr="00A95484">
        <w:t>сентября</w:t>
      </w:r>
      <w:r w:rsidR="00364ADA" w:rsidRPr="00A95484">
        <w:t xml:space="preserve"> </w:t>
      </w:r>
      <w:r w:rsidRPr="00A95484">
        <w:t>201</w:t>
      </w:r>
      <w:r w:rsidR="00E90201" w:rsidRPr="00A95484">
        <w:t>9</w:t>
      </w:r>
      <w:r w:rsidRPr="00A95484">
        <w:t xml:space="preserve"> г</w:t>
      </w:r>
      <w:r w:rsidR="0008744C" w:rsidRPr="00A95484">
        <w:t xml:space="preserve">., Приказ от </w:t>
      </w:r>
      <w:r w:rsidR="00364ADA" w:rsidRPr="00A95484">
        <w:t>«</w:t>
      </w:r>
      <w:r w:rsidR="00A95484" w:rsidRPr="00A95484">
        <w:rPr>
          <w:lang w:eastAsia="ja-JP"/>
        </w:rPr>
        <w:t>17</w:t>
      </w:r>
      <w:r w:rsidR="00AD62A6" w:rsidRPr="00A95484">
        <w:t>» сентября</w:t>
      </w:r>
      <w:r w:rsidR="00364ADA" w:rsidRPr="00A95484">
        <w:t xml:space="preserve"> </w:t>
      </w:r>
      <w:r w:rsidR="00E90201" w:rsidRPr="00A95484">
        <w:t xml:space="preserve">2019 </w:t>
      </w:r>
      <w:r w:rsidRPr="00A95484">
        <w:t xml:space="preserve">г. № </w:t>
      </w:r>
      <w:r w:rsidR="00A95484" w:rsidRPr="00A95484">
        <w:t>0917.02</w:t>
      </w:r>
      <w:r w:rsidRPr="00A95484">
        <w:t>.</w:t>
      </w:r>
    </w:p>
    <w:p w:rsidR="00987FD5" w:rsidRPr="00A95484" w:rsidRDefault="00987FD5" w:rsidP="004F69E6">
      <w:pPr>
        <w:jc w:val="both"/>
        <w:rPr>
          <w:lang w:eastAsia="ja-JP"/>
        </w:rPr>
      </w:pPr>
    </w:p>
    <w:p w:rsidR="004F69E6" w:rsidRPr="00A95484" w:rsidRDefault="004F69E6" w:rsidP="004F69E6">
      <w:pPr>
        <w:jc w:val="both"/>
      </w:pPr>
      <w:r w:rsidRPr="00A95484">
        <w:t xml:space="preserve">на основании решения Совета директоров </w:t>
      </w:r>
      <w:r w:rsidR="00457370" w:rsidRPr="00A95484">
        <w:t>Акционерного общества «Тинькофф Банк»</w:t>
      </w:r>
      <w:r w:rsidRPr="00A95484">
        <w:t xml:space="preserve"> об утверждении Программы биржевых облигаций </w:t>
      </w:r>
      <w:r w:rsidR="002A74D4" w:rsidRPr="00A95484">
        <w:t>серии 001Р</w:t>
      </w:r>
      <w:r w:rsidR="00457370" w:rsidRPr="00A95484">
        <w:t>, принятого «02» марта</w:t>
      </w:r>
      <w:r w:rsidR="00A37B1A" w:rsidRPr="00A95484">
        <w:t xml:space="preserve"> 2017 г., </w:t>
      </w:r>
      <w:r w:rsidR="00FD5743" w:rsidRPr="00A95484">
        <w:t xml:space="preserve">протокол </w:t>
      </w:r>
      <w:r w:rsidR="00457370" w:rsidRPr="00A95484">
        <w:t>от «02» марта 2017 г. № б/н</w:t>
      </w:r>
      <w:r w:rsidR="00060CBF" w:rsidRPr="00A95484">
        <w:t>.</w:t>
      </w:r>
    </w:p>
    <w:p w:rsidR="00987FD5" w:rsidRPr="00A95484" w:rsidRDefault="00987FD5" w:rsidP="004F69E6">
      <w:pPr>
        <w:jc w:val="both"/>
      </w:pPr>
    </w:p>
    <w:p w:rsidR="004F69E6" w:rsidRPr="00A95484" w:rsidRDefault="004F69E6" w:rsidP="004F69E6">
      <w:pPr>
        <w:jc w:val="both"/>
      </w:pPr>
      <w:r w:rsidRPr="00A95484">
        <w:t>Место нахождения эмитента и контактные телефоны:</w:t>
      </w:r>
    </w:p>
    <w:p w:rsidR="00852C4D" w:rsidRPr="00A95484" w:rsidRDefault="00852C4D" w:rsidP="00852C4D">
      <w:pPr>
        <w:rPr>
          <w:b/>
          <w:i/>
          <w:szCs w:val="22"/>
        </w:rPr>
      </w:pPr>
      <w:r w:rsidRPr="00A95484">
        <w:rPr>
          <w:b/>
          <w:i/>
          <w:szCs w:val="22"/>
        </w:rPr>
        <w:t>123060, город Москва, 1-й Волоколамский проезд, дом 10, строение 1</w:t>
      </w:r>
    </w:p>
    <w:p w:rsidR="00852C4D" w:rsidRPr="00A95484" w:rsidRDefault="00852C4D" w:rsidP="00852C4D">
      <w:pPr>
        <w:rPr>
          <w:szCs w:val="22"/>
        </w:rPr>
      </w:pPr>
      <w:r w:rsidRPr="00A95484">
        <w:rPr>
          <w:szCs w:val="22"/>
        </w:rPr>
        <w:t xml:space="preserve">Телефон: </w:t>
      </w:r>
      <w:r w:rsidRPr="00A95484">
        <w:rPr>
          <w:rStyle w:val="Subst0"/>
        </w:rPr>
        <w:t>+7 (495) 648-10-00</w:t>
      </w:r>
    </w:p>
    <w:p w:rsidR="00B2144D" w:rsidRPr="00A95484" w:rsidRDefault="005217D9" w:rsidP="005217D9">
      <w:pPr>
        <w:autoSpaceDE/>
        <w:autoSpaceDN/>
        <w:rPr>
          <w:szCs w:val="22"/>
        </w:rPr>
      </w:pPr>
      <w:r w:rsidRPr="00A95484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F69E6" w:rsidRPr="00A95484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69E6" w:rsidRPr="00A95484" w:rsidRDefault="004F69E6" w:rsidP="00B72747"/>
        </w:tc>
      </w:tr>
      <w:tr w:rsidR="004F69E6" w:rsidRPr="00A95484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A95484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A95484" w:rsidP="00B72747">
            <w:pPr>
              <w:jc w:val="both"/>
              <w:rPr>
                <w:b/>
                <w:bCs/>
                <w:i/>
                <w:iCs/>
              </w:rPr>
            </w:pPr>
            <w:r w:rsidRPr="00A95484">
              <w:rPr>
                <w:b/>
                <w:bCs/>
                <w:i/>
                <w:iCs/>
              </w:rPr>
              <w:t>Руководитель отдела корпоративной работы Юридического департамента АО «Тинькофф Банк»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A95484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A95484" w:rsidRDefault="00A95484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A95484">
              <w:rPr>
                <w:b/>
                <w:i/>
                <w:iCs/>
              </w:rPr>
              <w:t>Малаха А.В.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A95484" w:rsidRDefault="004F69E6" w:rsidP="00B72747"/>
        </w:tc>
      </w:tr>
      <w:tr w:rsidR="004F69E6" w:rsidRPr="00A95484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9E6" w:rsidRPr="00A95484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9E6" w:rsidRPr="00A95484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A95484" w:rsidRDefault="004F69E6" w:rsidP="00B72747">
            <w:r w:rsidRPr="00A95484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A95484" w:rsidRDefault="004F69E6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A95484" w:rsidRDefault="004F69E6" w:rsidP="00B72747">
            <w:r w:rsidRPr="00A95484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9E6" w:rsidRPr="00A95484" w:rsidRDefault="004F69E6" w:rsidP="00B72747"/>
        </w:tc>
      </w:tr>
      <w:tr w:rsidR="004F69E6" w:rsidRPr="00A95484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A95484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>
            <w:r w:rsidRPr="00A95484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A95484" w:rsidRDefault="004F69E6" w:rsidP="00B72747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>
            <w:r w:rsidRPr="00A95484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A95484" w:rsidRDefault="004F69E6" w:rsidP="00B7274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>
            <w:r w:rsidRPr="00A95484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A95484" w:rsidRDefault="00364ADA" w:rsidP="00B72747">
            <w:r w:rsidRPr="00A95484">
              <w:t>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A95484" w:rsidRDefault="004F69E6" w:rsidP="00B72747">
            <w:r w:rsidRPr="00A95484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A95484" w:rsidRDefault="004F69E6" w:rsidP="00B72747">
            <w:r w:rsidRPr="00A95484">
              <w:t>М.П.</w:t>
            </w:r>
          </w:p>
        </w:tc>
      </w:tr>
      <w:tr w:rsidR="004F69E6" w:rsidRPr="00A95484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9E6" w:rsidRPr="00A95484" w:rsidRDefault="004F69E6" w:rsidP="00B72747"/>
        </w:tc>
      </w:tr>
    </w:tbl>
    <w:p w:rsidR="004F69E6" w:rsidRPr="00A95484" w:rsidRDefault="004F69E6">
      <w:pPr>
        <w:rPr>
          <w:szCs w:val="22"/>
          <w:lang w:val="en-US"/>
        </w:rPr>
      </w:pPr>
    </w:p>
    <w:p w:rsidR="004F69E6" w:rsidRPr="00A95484" w:rsidRDefault="004F69E6">
      <w:pPr>
        <w:autoSpaceDE/>
        <w:autoSpaceDN/>
        <w:rPr>
          <w:szCs w:val="22"/>
          <w:lang w:val="en-US"/>
        </w:rPr>
      </w:pPr>
      <w:r w:rsidRPr="00A95484">
        <w:rPr>
          <w:szCs w:val="22"/>
          <w:lang w:val="en-US"/>
        </w:rPr>
        <w:br w:type="page"/>
      </w:r>
    </w:p>
    <w:p w:rsidR="00BF44B0" w:rsidRPr="00A95484" w:rsidRDefault="00BF44B0">
      <w:pPr>
        <w:rPr>
          <w:szCs w:val="22"/>
          <w:lang w:val="en-US"/>
        </w:rPr>
      </w:pPr>
    </w:p>
    <w:p w:rsidR="00BF44B0" w:rsidRPr="00A95484" w:rsidRDefault="00BF44B0" w:rsidP="00013B04">
      <w:pPr>
        <w:ind w:firstLine="540"/>
        <w:jc w:val="both"/>
      </w:pPr>
      <w:r w:rsidRPr="00A95484">
        <w:t>1. Вид ценных бумаг</w:t>
      </w:r>
    </w:p>
    <w:p w:rsidR="004419E5" w:rsidRPr="00A95484" w:rsidRDefault="004419E5" w:rsidP="004419E5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биржевые облигации на предъявителя </w:t>
      </w:r>
    </w:p>
    <w:p w:rsidR="00BF44B0" w:rsidRPr="00A95484" w:rsidRDefault="004419E5" w:rsidP="004419E5">
      <w:pPr>
        <w:ind w:firstLine="539"/>
        <w:jc w:val="both"/>
      </w:pPr>
      <w:r w:rsidRPr="00A95484">
        <w:t xml:space="preserve">Иные идентификационные признаки облигаций выпуска, размещаемых в рамках программы облигаций: </w:t>
      </w:r>
      <w:r w:rsidR="00BF44B0" w:rsidRPr="00A95484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szCs w:val="22"/>
        </w:rPr>
        <w:t xml:space="preserve">Серия: </w:t>
      </w:r>
      <w:r w:rsidR="00AD62A6" w:rsidRPr="00A95484">
        <w:rPr>
          <w:b/>
          <w:bCs/>
          <w:i/>
          <w:iCs/>
          <w:szCs w:val="22"/>
        </w:rPr>
        <w:t>001Р-03R</w:t>
      </w:r>
    </w:p>
    <w:p w:rsidR="007D6323" w:rsidRPr="00A95484" w:rsidRDefault="007D6323" w:rsidP="00C0226D">
      <w:pPr>
        <w:jc w:val="both"/>
        <w:rPr>
          <w:b/>
          <w:bCs/>
          <w:i/>
          <w:iCs/>
          <w:szCs w:val="22"/>
        </w:rPr>
      </w:pPr>
    </w:p>
    <w:p w:rsidR="00BF44B0" w:rsidRPr="00A95484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:rsidR="00BF44B0" w:rsidRPr="00A95484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A95484">
        <w:rPr>
          <w:b/>
          <w:bCs/>
          <w:i/>
          <w:iCs/>
          <w:szCs w:val="22"/>
          <w:lang w:val="en-US"/>
        </w:rPr>
        <w:t>P</w:t>
      </w:r>
      <w:r w:rsidRPr="00A95484">
        <w:rPr>
          <w:b/>
          <w:bCs/>
          <w:i/>
          <w:iCs/>
          <w:szCs w:val="22"/>
        </w:rPr>
        <w:t xml:space="preserve">, имеющая идентификационный номер </w:t>
      </w:r>
      <w:r w:rsidR="00141627" w:rsidRPr="00A95484">
        <w:rPr>
          <w:b/>
          <w:bCs/>
          <w:i/>
          <w:iCs/>
          <w:szCs w:val="22"/>
        </w:rPr>
        <w:t>402673B001P02E от 24.03.2017</w:t>
      </w:r>
      <w:r w:rsidRPr="00A95484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:rsidR="00A9569A" w:rsidRPr="00A95484" w:rsidRDefault="00A9569A" w:rsidP="00A9569A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:rsidR="00A9569A" w:rsidRPr="00A95484" w:rsidRDefault="00A9569A" w:rsidP="00A9569A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:rsidR="00A9569A" w:rsidRPr="00A95484" w:rsidRDefault="00A9569A" w:rsidP="00A9569A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020C2E" w:rsidRPr="00A95484" w:rsidRDefault="00020C2E" w:rsidP="00020C2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Биржевые облигации, Биржевые облигации выпуска – биржевые облигации, размещаемые в рамках Выпуска.</w:t>
      </w:r>
    </w:p>
    <w:p w:rsidR="00BF44B0" w:rsidRPr="00A95484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A95484">
        <w:rPr>
          <w:b/>
          <w:bCs/>
          <w:i/>
          <w:iCs/>
          <w:szCs w:val="22"/>
          <w:lang w:eastAsia="en-US"/>
        </w:rPr>
        <w:t xml:space="preserve">Эмитент – </w:t>
      </w:r>
      <w:r w:rsidR="00141627" w:rsidRPr="00A95484">
        <w:rPr>
          <w:b/>
          <w:bCs/>
          <w:i/>
          <w:iCs/>
          <w:szCs w:val="22"/>
          <w:lang w:eastAsia="en-US"/>
        </w:rPr>
        <w:t>Акционерное общество «Тинькофф Банк»</w:t>
      </w:r>
      <w:r w:rsidRPr="00A95484">
        <w:rPr>
          <w:b/>
          <w:bCs/>
          <w:i/>
          <w:iCs/>
          <w:szCs w:val="22"/>
          <w:lang w:eastAsia="en-US"/>
        </w:rPr>
        <w:t>,</w:t>
      </w:r>
      <w:r w:rsidR="0095242B" w:rsidRPr="00A95484">
        <w:rPr>
          <w:b/>
          <w:bCs/>
          <w:i/>
          <w:iCs/>
          <w:szCs w:val="22"/>
          <w:lang w:eastAsia="en-US"/>
        </w:rPr>
        <w:t xml:space="preserve"> </w:t>
      </w:r>
      <w:r w:rsidR="00D12E0F" w:rsidRPr="00A95484">
        <w:rPr>
          <w:b/>
          <w:bCs/>
          <w:i/>
          <w:iCs/>
          <w:szCs w:val="22"/>
          <w:lang w:eastAsia="en-US"/>
        </w:rPr>
        <w:t>АО «Тинькофф Банк»</w:t>
      </w:r>
      <w:r w:rsidRPr="00A95484">
        <w:rPr>
          <w:b/>
          <w:bCs/>
          <w:i/>
          <w:iCs/>
          <w:szCs w:val="22"/>
          <w:lang w:eastAsia="en-US"/>
        </w:rPr>
        <w:t>.</w:t>
      </w:r>
    </w:p>
    <w:p w:rsidR="007D6323" w:rsidRPr="00A95484" w:rsidRDefault="007D6323" w:rsidP="00C0226D">
      <w:pPr>
        <w:adjustRightInd w:val="0"/>
        <w:jc w:val="both"/>
      </w:pPr>
    </w:p>
    <w:p w:rsidR="00BF44B0" w:rsidRPr="00A95484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A95484">
        <w:rPr>
          <w:szCs w:val="22"/>
          <w:lang w:eastAsia="en-US"/>
        </w:rPr>
        <w:t xml:space="preserve">2. Форма облигаций: </w:t>
      </w:r>
      <w:r w:rsidRPr="00A95484">
        <w:rPr>
          <w:b/>
          <w:bCs/>
          <w:i/>
          <w:iCs/>
          <w:szCs w:val="22"/>
          <w:lang w:eastAsia="en-US"/>
        </w:rPr>
        <w:t>документарные</w:t>
      </w:r>
    </w:p>
    <w:p w:rsidR="007D6323" w:rsidRPr="00A95484" w:rsidRDefault="007D6323" w:rsidP="00C0226D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3. Указание на обязательное централизованное хранение</w:t>
      </w:r>
    </w:p>
    <w:p w:rsidR="00BF44B0" w:rsidRPr="00A95484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:rsidR="00BF44B0" w:rsidRPr="00A95484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A95484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:rsidR="007D6323" w:rsidRPr="00A95484" w:rsidRDefault="007D6323" w:rsidP="00C0226D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4. Номинальная стоимость каждой облигации выпуска (дополнительного выпуска)</w:t>
      </w:r>
    </w:p>
    <w:p w:rsidR="00BF44B0" w:rsidRPr="00A95484" w:rsidRDefault="00BF44B0" w:rsidP="005063F1">
      <w:pPr>
        <w:ind w:firstLine="539"/>
        <w:jc w:val="both"/>
        <w:rPr>
          <w:szCs w:val="22"/>
        </w:rPr>
      </w:pPr>
      <w:r w:rsidRPr="00A95484">
        <w:rPr>
          <w:szCs w:val="22"/>
        </w:rPr>
        <w:t xml:space="preserve">Номинальная стоимость каждой ценной бумаги: </w:t>
      </w:r>
      <w:r w:rsidRPr="00A95484">
        <w:rPr>
          <w:b/>
          <w:bCs/>
          <w:i/>
          <w:iCs/>
        </w:rPr>
        <w:t>1 000 (Одна тысяча) российских рублей.</w:t>
      </w:r>
    </w:p>
    <w:p w:rsidR="007D6323" w:rsidRPr="00A95484" w:rsidRDefault="007D6323" w:rsidP="00C0226D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5. Количество облигаций выпуска (дополнительного выпуска)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szCs w:val="22"/>
        </w:rPr>
        <w:t xml:space="preserve">Количество размещаемых ценных бумаг выпуска: </w:t>
      </w:r>
      <w:r w:rsidR="00A41000" w:rsidRPr="00A95484">
        <w:rPr>
          <w:b/>
          <w:bCs/>
          <w:i/>
          <w:iCs/>
          <w:szCs w:val="22"/>
        </w:rPr>
        <w:t>10 000 000 (Десять</w:t>
      </w:r>
      <w:r w:rsidR="00506666" w:rsidRPr="00A95484">
        <w:rPr>
          <w:b/>
          <w:bCs/>
          <w:i/>
          <w:iCs/>
          <w:szCs w:val="22"/>
        </w:rPr>
        <w:t xml:space="preserve"> миллионов)</w:t>
      </w:r>
      <w:r w:rsidRPr="00A95484">
        <w:rPr>
          <w:b/>
          <w:bCs/>
          <w:i/>
          <w:iCs/>
        </w:rPr>
        <w:t xml:space="preserve"> штук.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:rsidR="007D6323" w:rsidRPr="00A95484" w:rsidRDefault="007D6323" w:rsidP="00C0226D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6. Общее количество облигаций данного выпуска, размещенных ранее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:rsidR="007D6323" w:rsidRPr="00A95484" w:rsidRDefault="007D6323" w:rsidP="00C0226D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7. Права владельца каждой облигации выпуска (дополнительного выпуска)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:rsidR="007D6323" w:rsidRPr="00A95484" w:rsidRDefault="007D6323" w:rsidP="00C0226D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8. Условия и порядок размещения облигаций выпуска (дополнительного выпуска)</w:t>
      </w: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A95484" w:rsidRDefault="00BF44B0" w:rsidP="005063F1">
      <w:pPr>
        <w:ind w:firstLine="539"/>
        <w:jc w:val="both"/>
        <w:rPr>
          <w:szCs w:val="22"/>
        </w:rPr>
      </w:pPr>
      <w:r w:rsidRPr="00A95484">
        <w:rPr>
          <w:szCs w:val="22"/>
        </w:rPr>
        <w:t xml:space="preserve">8.1. Способ размещения облигаций: </w:t>
      </w:r>
      <w:r w:rsidRPr="00A95484">
        <w:rPr>
          <w:b/>
          <w:bCs/>
          <w:i/>
          <w:iCs/>
        </w:rPr>
        <w:t>открытая подписка.</w:t>
      </w:r>
    </w:p>
    <w:p w:rsidR="007D6323" w:rsidRPr="00A95484" w:rsidRDefault="007D6323" w:rsidP="00C0226D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8.2. Срок размещения облигаций</w:t>
      </w:r>
    </w:p>
    <w:p w:rsidR="00BF44B0" w:rsidRPr="00A95484" w:rsidRDefault="00BF44B0" w:rsidP="00931549">
      <w:pPr>
        <w:ind w:firstLine="539"/>
        <w:jc w:val="both"/>
        <w:rPr>
          <w:bCs/>
          <w:iCs/>
          <w:szCs w:val="22"/>
        </w:rPr>
      </w:pPr>
      <w:r w:rsidRPr="00A95484">
        <w:rPr>
          <w:bCs/>
          <w:iCs/>
          <w:szCs w:val="22"/>
        </w:rPr>
        <w:t>Дата начала размещения Биржевых облигаций:</w:t>
      </w:r>
    </w:p>
    <w:p w:rsidR="00BF44B0" w:rsidRPr="00A95484" w:rsidRDefault="00BF44B0" w:rsidP="006A60E8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:rsidR="00BF44B0" w:rsidRPr="00A95484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A95484">
        <w:rPr>
          <w:szCs w:val="22"/>
        </w:rPr>
        <w:t>Дата окончания размещения, или порядок ее определения: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BF44B0" w:rsidRPr="00A95484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а) 3-й (Третий</w:t>
      </w:r>
      <w:r w:rsidR="00BF44B0" w:rsidRPr="00A95484">
        <w:rPr>
          <w:b/>
          <w:i/>
          <w:szCs w:val="22"/>
        </w:rPr>
        <w:t>) рабочий день с даты начала размещения Биржевых облигаций;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б) дата размещения последней Биржевой облигации выпуска.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i/>
          <w:szCs w:val="22"/>
        </w:rPr>
        <w:t>Выпуск Биржевых облигаций не предполагается размещать траншами.</w:t>
      </w:r>
    </w:p>
    <w:p w:rsidR="00BF44B0" w:rsidRPr="00A95484" w:rsidRDefault="00BF44B0" w:rsidP="007F2F4C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:rsidR="007D6323" w:rsidRPr="00A95484" w:rsidRDefault="007D6323" w:rsidP="00D875F2">
      <w:pPr>
        <w:adjustRightInd w:val="0"/>
        <w:ind w:firstLine="54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8.3. Порядок размещения облигаций</w:t>
      </w:r>
    </w:p>
    <w:p w:rsidR="00BF44B0" w:rsidRPr="00A95484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A95484">
        <w:rPr>
          <w:b/>
          <w:bCs/>
          <w:i/>
          <w:iCs/>
          <w:szCs w:val="22"/>
        </w:rPr>
        <w:t xml:space="preserve"> </w:t>
      </w:r>
      <w:r w:rsidRPr="00A95484">
        <w:rPr>
          <w:b/>
          <w:bCs/>
          <w:i/>
          <w:iCs/>
          <w:szCs w:val="22"/>
        </w:rPr>
        <w:t>Условий выпуска (далее – Цена размещения).</w:t>
      </w:r>
    </w:p>
    <w:p w:rsidR="00BF44B0" w:rsidRPr="00A95484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A95484">
        <w:rPr>
          <w:b/>
          <w:bCs/>
          <w:i/>
          <w:iCs/>
          <w:szCs w:val="22"/>
        </w:rPr>
        <w:t xml:space="preserve"> </w:t>
      </w:r>
      <w:r w:rsidRPr="00A95484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A95484">
        <w:rPr>
          <w:b/>
          <w:bCs/>
          <w:i/>
          <w:iCs/>
          <w:szCs w:val="22"/>
        </w:rPr>
        <w:t>(Формирование книги заявок)</w:t>
      </w:r>
      <w:r w:rsidRPr="00A95484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A95484">
        <w:rPr>
          <w:b/>
          <w:bCs/>
          <w:i/>
          <w:iCs/>
          <w:szCs w:val="22"/>
        </w:rPr>
        <w:t>)</w:t>
      </w:r>
      <w:r w:rsidRPr="00A95484">
        <w:rPr>
          <w:b/>
          <w:bCs/>
          <w:i/>
          <w:iCs/>
          <w:szCs w:val="22"/>
        </w:rPr>
        <w:t xml:space="preserve"> пункта 8.3 Программы.</w:t>
      </w:r>
    </w:p>
    <w:p w:rsidR="00BF44B0" w:rsidRPr="00A95484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A95484">
        <w:rPr>
          <w:b/>
          <w:bCs/>
          <w:i/>
          <w:iCs/>
          <w:szCs w:val="22"/>
        </w:rPr>
        <w:t>(далее – Организаторы):</w:t>
      </w:r>
    </w:p>
    <w:p w:rsidR="001F2F89" w:rsidRPr="00A95484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:rsidR="001F2F89" w:rsidRPr="00A95484" w:rsidRDefault="001F2F89" w:rsidP="001F2F89">
      <w:pPr>
        <w:ind w:firstLine="539"/>
        <w:jc w:val="both"/>
      </w:pPr>
      <w:r w:rsidRPr="00A95484">
        <w:t xml:space="preserve">Полное фирменное наименование: </w:t>
      </w:r>
      <w:r w:rsidRPr="00A95484">
        <w:rPr>
          <w:b/>
          <w:i/>
        </w:rPr>
        <w:t>А</w:t>
      </w:r>
      <w:r w:rsidRPr="00A95484">
        <w:rPr>
          <w:b/>
          <w:bCs/>
          <w:i/>
          <w:iCs/>
        </w:rPr>
        <w:t xml:space="preserve">кционерное общество «Сбербанк КИБ» </w:t>
      </w:r>
    </w:p>
    <w:p w:rsidR="001F2F89" w:rsidRPr="00A95484" w:rsidRDefault="001F2F89" w:rsidP="001F2F89">
      <w:pPr>
        <w:ind w:firstLine="539"/>
        <w:jc w:val="both"/>
        <w:rPr>
          <w:b/>
          <w:bCs/>
          <w:i/>
          <w:iCs/>
        </w:rPr>
      </w:pPr>
      <w:r w:rsidRPr="00A95484">
        <w:t xml:space="preserve">Сокращенное фирменное наименование: </w:t>
      </w:r>
      <w:r w:rsidRPr="00A95484">
        <w:rPr>
          <w:b/>
          <w:bCs/>
          <w:i/>
          <w:iCs/>
        </w:rPr>
        <w:t xml:space="preserve">АО «Сбербанк КИБ» </w:t>
      </w:r>
    </w:p>
    <w:p w:rsidR="001F2F89" w:rsidRPr="00A95484" w:rsidRDefault="001F2F89" w:rsidP="001F2F89">
      <w:pPr>
        <w:ind w:firstLine="539"/>
        <w:jc w:val="both"/>
      </w:pPr>
      <w:r w:rsidRPr="00A95484">
        <w:t xml:space="preserve">ИНН: </w:t>
      </w:r>
      <w:r w:rsidRPr="00A95484">
        <w:rPr>
          <w:b/>
          <w:bCs/>
          <w:i/>
          <w:iCs/>
        </w:rPr>
        <w:t>7710048970</w:t>
      </w:r>
      <w:r w:rsidRPr="00A95484">
        <w:t xml:space="preserve"> </w:t>
      </w:r>
    </w:p>
    <w:p w:rsidR="001F2F89" w:rsidRPr="00A95484" w:rsidRDefault="001F2F89" w:rsidP="001F2F89">
      <w:pPr>
        <w:ind w:firstLine="539"/>
        <w:jc w:val="both"/>
      </w:pPr>
      <w:r w:rsidRPr="00A95484">
        <w:t xml:space="preserve">ОГРН: </w:t>
      </w:r>
      <w:r w:rsidRPr="00A95484">
        <w:rPr>
          <w:b/>
          <w:bCs/>
          <w:i/>
          <w:iCs/>
        </w:rPr>
        <w:t>1027739007768</w:t>
      </w:r>
    </w:p>
    <w:p w:rsidR="001F2F89" w:rsidRPr="00A95484" w:rsidRDefault="001F2F89" w:rsidP="001F2F89">
      <w:pPr>
        <w:ind w:firstLine="539"/>
        <w:jc w:val="both"/>
      </w:pPr>
      <w:r w:rsidRPr="00A95484">
        <w:t xml:space="preserve">Место нахождения: </w:t>
      </w:r>
      <w:r w:rsidRPr="00A95484">
        <w:rPr>
          <w:b/>
          <w:bCs/>
          <w:i/>
          <w:iCs/>
        </w:rPr>
        <w:t>Российская Федерация, г. Москва</w:t>
      </w:r>
    </w:p>
    <w:p w:rsidR="001F2F89" w:rsidRPr="00A95484" w:rsidRDefault="001F2F89" w:rsidP="001F2F89">
      <w:pPr>
        <w:ind w:firstLine="539"/>
        <w:jc w:val="both"/>
        <w:rPr>
          <w:b/>
          <w:bCs/>
          <w:i/>
          <w:iCs/>
        </w:rPr>
      </w:pPr>
      <w:r w:rsidRPr="00A95484">
        <w:t xml:space="preserve">Номер лицензии на осуществление брокерской деятельности: </w:t>
      </w:r>
      <w:r w:rsidRPr="00A95484">
        <w:rPr>
          <w:b/>
          <w:bCs/>
          <w:i/>
          <w:iCs/>
        </w:rPr>
        <w:t xml:space="preserve">№ </w:t>
      </w:r>
      <w:r w:rsidRPr="00A95484">
        <w:rPr>
          <w:b/>
          <w:bCs/>
          <w:i/>
          <w:iCs/>
          <w:lang w:eastAsia="ja-JP"/>
        </w:rPr>
        <w:t>045</w:t>
      </w:r>
      <w:r w:rsidRPr="00A95484">
        <w:rPr>
          <w:b/>
          <w:bCs/>
          <w:i/>
          <w:iCs/>
        </w:rPr>
        <w:t>-06514-100000</w:t>
      </w:r>
    </w:p>
    <w:p w:rsidR="001F2F89" w:rsidRPr="00A95484" w:rsidRDefault="001F2F89" w:rsidP="001F2F89">
      <w:pPr>
        <w:ind w:firstLine="539"/>
        <w:jc w:val="both"/>
        <w:rPr>
          <w:b/>
          <w:bCs/>
          <w:i/>
          <w:iCs/>
        </w:rPr>
      </w:pPr>
      <w:r w:rsidRPr="00A95484">
        <w:t xml:space="preserve">Дата выдачи: </w:t>
      </w:r>
      <w:r w:rsidRPr="00A95484">
        <w:rPr>
          <w:b/>
          <w:bCs/>
          <w:i/>
          <w:iCs/>
        </w:rPr>
        <w:t>08.04.2003</w:t>
      </w:r>
    </w:p>
    <w:p w:rsidR="001F2F89" w:rsidRPr="00A95484" w:rsidRDefault="001F2F89" w:rsidP="001F2F89">
      <w:pPr>
        <w:ind w:firstLine="539"/>
        <w:jc w:val="both"/>
        <w:rPr>
          <w:b/>
          <w:bCs/>
          <w:i/>
          <w:iCs/>
        </w:rPr>
      </w:pPr>
      <w:r w:rsidRPr="00A95484">
        <w:t xml:space="preserve">Срок действия: </w:t>
      </w:r>
      <w:r w:rsidRPr="00A95484">
        <w:rPr>
          <w:b/>
          <w:bCs/>
          <w:i/>
          <w:iCs/>
        </w:rPr>
        <w:t>без ограничения срока действия</w:t>
      </w:r>
    </w:p>
    <w:p w:rsidR="001F2F89" w:rsidRPr="00A95484" w:rsidRDefault="001F2F89" w:rsidP="001F2F89">
      <w:pPr>
        <w:ind w:firstLine="539"/>
        <w:jc w:val="both"/>
        <w:rPr>
          <w:b/>
          <w:bCs/>
          <w:i/>
          <w:iCs/>
        </w:rPr>
      </w:pPr>
      <w:r w:rsidRPr="00A95484">
        <w:t xml:space="preserve">Орган, выдавший лицензию: </w:t>
      </w:r>
      <w:r w:rsidRPr="00A95484">
        <w:rPr>
          <w:b/>
          <w:bCs/>
          <w:i/>
          <w:iCs/>
        </w:rPr>
        <w:t>ФКЦБ России</w:t>
      </w:r>
    </w:p>
    <w:p w:rsidR="001F2F89" w:rsidRPr="00A95484" w:rsidRDefault="001F2F89" w:rsidP="001F2F89">
      <w:pPr>
        <w:ind w:firstLine="539"/>
        <w:jc w:val="both"/>
        <w:rPr>
          <w:b/>
          <w:bCs/>
          <w:i/>
          <w:iCs/>
        </w:rPr>
      </w:pPr>
    </w:p>
    <w:p w:rsidR="009E3786" w:rsidRPr="00A95484" w:rsidRDefault="009E3786" w:rsidP="009E3786">
      <w:pPr>
        <w:autoSpaceDE/>
        <w:adjustRightInd w:val="0"/>
        <w:ind w:firstLine="539"/>
        <w:jc w:val="both"/>
        <w:rPr>
          <w:b/>
          <w:szCs w:val="22"/>
        </w:rPr>
      </w:pPr>
      <w:r w:rsidRPr="00A95484">
        <w:rPr>
          <w:szCs w:val="22"/>
        </w:rPr>
        <w:t xml:space="preserve">Полное фирменное наименование: </w:t>
      </w:r>
      <w:r w:rsidRPr="00A95484">
        <w:rPr>
          <w:b/>
          <w:i/>
          <w:szCs w:val="22"/>
        </w:rPr>
        <w:t>Публичное акционерное общество «Совкомбанк»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i/>
          <w:szCs w:val="22"/>
        </w:rPr>
      </w:pPr>
      <w:r w:rsidRPr="00A95484">
        <w:rPr>
          <w:szCs w:val="22"/>
        </w:rPr>
        <w:t xml:space="preserve">Сокращенное фирменное наименование: </w:t>
      </w:r>
      <w:r w:rsidRPr="00A95484">
        <w:rPr>
          <w:b/>
          <w:i/>
          <w:szCs w:val="22"/>
        </w:rPr>
        <w:t>ПАО «Совкомбанк»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szCs w:val="22"/>
        </w:rPr>
      </w:pPr>
      <w:r w:rsidRPr="00A95484">
        <w:rPr>
          <w:szCs w:val="22"/>
        </w:rPr>
        <w:t xml:space="preserve">ИНН: </w:t>
      </w:r>
      <w:r w:rsidRPr="00A95484">
        <w:rPr>
          <w:b/>
          <w:i/>
          <w:szCs w:val="22"/>
        </w:rPr>
        <w:t>4401116480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szCs w:val="22"/>
        </w:rPr>
      </w:pPr>
      <w:r w:rsidRPr="00A95484">
        <w:rPr>
          <w:bCs/>
          <w:szCs w:val="22"/>
        </w:rPr>
        <w:t xml:space="preserve">ОГРН: </w:t>
      </w:r>
      <w:r w:rsidRPr="00A95484">
        <w:rPr>
          <w:b/>
          <w:bCs/>
          <w:i/>
          <w:szCs w:val="22"/>
        </w:rPr>
        <w:t>1144400000425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b/>
          <w:szCs w:val="22"/>
        </w:rPr>
      </w:pPr>
      <w:r w:rsidRPr="00A95484">
        <w:rPr>
          <w:szCs w:val="22"/>
        </w:rPr>
        <w:t xml:space="preserve">Место нахождения: </w:t>
      </w:r>
      <w:r w:rsidRPr="00A95484">
        <w:rPr>
          <w:b/>
          <w:i/>
          <w:szCs w:val="22"/>
        </w:rPr>
        <w:t>156000, Костромская область, г.</w:t>
      </w:r>
      <w:r w:rsidR="005E3596" w:rsidRPr="00A95484">
        <w:rPr>
          <w:b/>
          <w:i/>
          <w:szCs w:val="22"/>
        </w:rPr>
        <w:t xml:space="preserve"> </w:t>
      </w:r>
      <w:r w:rsidRPr="00A95484">
        <w:rPr>
          <w:b/>
          <w:i/>
          <w:szCs w:val="22"/>
        </w:rPr>
        <w:t>Кострома, проспект Текстильщиков, д.46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szCs w:val="22"/>
        </w:rPr>
      </w:pPr>
      <w:r w:rsidRPr="00A95484">
        <w:t>Номер лицензии на осуществление брокерской деятельности:</w:t>
      </w:r>
      <w:r w:rsidRPr="00A95484">
        <w:rPr>
          <w:b/>
          <w:i/>
          <w:szCs w:val="22"/>
        </w:rPr>
        <w:t xml:space="preserve"> № 144-11954-100000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szCs w:val="22"/>
        </w:rPr>
      </w:pPr>
      <w:r w:rsidRPr="00A95484">
        <w:rPr>
          <w:szCs w:val="22"/>
        </w:rPr>
        <w:t xml:space="preserve">Дата выдачи: </w:t>
      </w:r>
      <w:r w:rsidRPr="00A95484">
        <w:rPr>
          <w:b/>
          <w:i/>
          <w:szCs w:val="22"/>
        </w:rPr>
        <w:t>27.01.2009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szCs w:val="22"/>
        </w:rPr>
      </w:pPr>
      <w:r w:rsidRPr="00A95484">
        <w:rPr>
          <w:szCs w:val="22"/>
        </w:rPr>
        <w:t xml:space="preserve">Срок действия: </w:t>
      </w:r>
      <w:r w:rsidRPr="00A95484">
        <w:rPr>
          <w:b/>
          <w:i/>
          <w:szCs w:val="22"/>
        </w:rPr>
        <w:t>без ограничения срока действия</w:t>
      </w:r>
    </w:p>
    <w:p w:rsidR="009E3786" w:rsidRPr="00A95484" w:rsidRDefault="009E3786" w:rsidP="009E3786">
      <w:pPr>
        <w:autoSpaceDE/>
        <w:adjustRightInd w:val="0"/>
        <w:ind w:firstLine="539"/>
        <w:jc w:val="both"/>
        <w:rPr>
          <w:szCs w:val="22"/>
        </w:rPr>
      </w:pPr>
      <w:r w:rsidRPr="00A95484">
        <w:rPr>
          <w:szCs w:val="22"/>
        </w:rPr>
        <w:t xml:space="preserve">Орган, выдавший указанную лицензию: </w:t>
      </w:r>
      <w:r w:rsidRPr="00A95484">
        <w:rPr>
          <w:b/>
          <w:i/>
          <w:szCs w:val="22"/>
        </w:rPr>
        <w:t>ФСФР России</w:t>
      </w:r>
    </w:p>
    <w:p w:rsidR="00BF44B0" w:rsidRPr="00A95484" w:rsidRDefault="00BF44B0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Основные функции Организатора приведены в п. 8.3 Программы.</w:t>
      </w:r>
    </w:p>
    <w:p w:rsidR="007D6323" w:rsidRPr="00A95484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A95484" w:rsidRDefault="00BF44B0" w:rsidP="008D2C4E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:rsidR="007D6323" w:rsidRPr="00A95484" w:rsidRDefault="007D6323" w:rsidP="007F2F4C">
      <w:pPr>
        <w:jc w:val="both"/>
        <w:rPr>
          <w:b/>
          <w:i/>
          <w:szCs w:val="22"/>
          <w:u w:val="single"/>
        </w:rPr>
      </w:pPr>
    </w:p>
    <w:p w:rsidR="00B92F06" w:rsidRPr="00A95484" w:rsidRDefault="00B92F06" w:rsidP="00B92F06">
      <w:pPr>
        <w:ind w:firstLine="539"/>
        <w:jc w:val="both"/>
      </w:pPr>
      <w:r w:rsidRPr="00A95484">
        <w:t xml:space="preserve">Полное фирменное наименование: </w:t>
      </w:r>
      <w:r w:rsidRPr="00A95484">
        <w:rPr>
          <w:b/>
          <w:i/>
        </w:rPr>
        <w:t>А</w:t>
      </w:r>
      <w:r w:rsidRPr="00A95484">
        <w:rPr>
          <w:b/>
          <w:bCs/>
          <w:i/>
          <w:iCs/>
        </w:rPr>
        <w:t xml:space="preserve">кционерное общество «Сбербанк КИБ» </w:t>
      </w:r>
    </w:p>
    <w:p w:rsidR="00B92F06" w:rsidRPr="00A95484" w:rsidRDefault="00B92F06" w:rsidP="00B92F06">
      <w:pPr>
        <w:ind w:firstLine="539"/>
        <w:jc w:val="both"/>
        <w:rPr>
          <w:b/>
          <w:bCs/>
          <w:i/>
          <w:iCs/>
        </w:rPr>
      </w:pPr>
      <w:r w:rsidRPr="00A95484">
        <w:t xml:space="preserve">Сокращенное фирменное наименование: </w:t>
      </w:r>
      <w:r w:rsidRPr="00A95484">
        <w:rPr>
          <w:b/>
          <w:bCs/>
          <w:i/>
          <w:iCs/>
        </w:rPr>
        <w:t xml:space="preserve">АО «Сбербанк КИБ» </w:t>
      </w:r>
    </w:p>
    <w:p w:rsidR="00B92F06" w:rsidRPr="00A95484" w:rsidRDefault="00B92F06" w:rsidP="00B92F06">
      <w:pPr>
        <w:ind w:firstLine="539"/>
        <w:jc w:val="both"/>
      </w:pPr>
      <w:r w:rsidRPr="00A95484">
        <w:t xml:space="preserve">ИНН: </w:t>
      </w:r>
      <w:r w:rsidRPr="00A95484">
        <w:rPr>
          <w:b/>
          <w:bCs/>
          <w:i/>
          <w:iCs/>
        </w:rPr>
        <w:t>7710048970</w:t>
      </w:r>
      <w:r w:rsidRPr="00A95484">
        <w:t xml:space="preserve"> </w:t>
      </w:r>
    </w:p>
    <w:p w:rsidR="00B92F06" w:rsidRPr="00A95484" w:rsidRDefault="00B92F06" w:rsidP="00B92F06">
      <w:pPr>
        <w:ind w:firstLine="539"/>
        <w:jc w:val="both"/>
      </w:pPr>
      <w:r w:rsidRPr="00A95484">
        <w:t xml:space="preserve">ОГРН: </w:t>
      </w:r>
      <w:r w:rsidRPr="00A95484">
        <w:rPr>
          <w:b/>
          <w:bCs/>
          <w:i/>
          <w:iCs/>
        </w:rPr>
        <w:t>1027739007768</w:t>
      </w:r>
    </w:p>
    <w:p w:rsidR="00B92F06" w:rsidRPr="00A95484" w:rsidRDefault="00B92F06" w:rsidP="00B92F06">
      <w:pPr>
        <w:ind w:firstLine="539"/>
        <w:jc w:val="both"/>
      </w:pPr>
      <w:r w:rsidRPr="00A95484">
        <w:t xml:space="preserve">Место нахождения: </w:t>
      </w:r>
      <w:r w:rsidRPr="00A95484">
        <w:rPr>
          <w:b/>
          <w:bCs/>
          <w:i/>
          <w:iCs/>
        </w:rPr>
        <w:t>Российская Федерация, г. Москва</w:t>
      </w:r>
    </w:p>
    <w:p w:rsidR="00B92F06" w:rsidRPr="00A95484" w:rsidRDefault="00B92F06" w:rsidP="00B92F06">
      <w:pPr>
        <w:ind w:firstLine="539"/>
        <w:jc w:val="both"/>
        <w:rPr>
          <w:b/>
          <w:bCs/>
          <w:i/>
          <w:iCs/>
        </w:rPr>
      </w:pPr>
      <w:r w:rsidRPr="00A95484">
        <w:t xml:space="preserve">Номер лицензии на осуществление брокерской деятельности: </w:t>
      </w:r>
      <w:r w:rsidRPr="00A95484">
        <w:rPr>
          <w:b/>
          <w:bCs/>
          <w:i/>
          <w:iCs/>
        </w:rPr>
        <w:t xml:space="preserve">№ </w:t>
      </w:r>
      <w:r w:rsidRPr="00A95484">
        <w:rPr>
          <w:b/>
          <w:bCs/>
          <w:i/>
          <w:iCs/>
          <w:lang w:eastAsia="ja-JP"/>
        </w:rPr>
        <w:t>045</w:t>
      </w:r>
      <w:r w:rsidRPr="00A95484">
        <w:rPr>
          <w:b/>
          <w:bCs/>
          <w:i/>
          <w:iCs/>
        </w:rPr>
        <w:t>-06514-100000</w:t>
      </w:r>
    </w:p>
    <w:p w:rsidR="00B92F06" w:rsidRPr="00A95484" w:rsidRDefault="00B92F06" w:rsidP="00B92F06">
      <w:pPr>
        <w:ind w:firstLine="539"/>
        <w:jc w:val="both"/>
        <w:rPr>
          <w:b/>
          <w:bCs/>
          <w:i/>
          <w:iCs/>
        </w:rPr>
      </w:pPr>
      <w:r w:rsidRPr="00A95484">
        <w:t xml:space="preserve">Дата выдачи: </w:t>
      </w:r>
      <w:r w:rsidRPr="00A95484">
        <w:rPr>
          <w:b/>
          <w:bCs/>
          <w:i/>
          <w:iCs/>
        </w:rPr>
        <w:t>08.04.2003</w:t>
      </w:r>
    </w:p>
    <w:p w:rsidR="00B92F06" w:rsidRPr="00A95484" w:rsidRDefault="00B92F06" w:rsidP="00B92F06">
      <w:pPr>
        <w:ind w:firstLine="539"/>
        <w:jc w:val="both"/>
        <w:rPr>
          <w:b/>
          <w:bCs/>
          <w:i/>
          <w:iCs/>
        </w:rPr>
      </w:pPr>
      <w:r w:rsidRPr="00A95484">
        <w:t xml:space="preserve">Срок действия: </w:t>
      </w:r>
      <w:r w:rsidRPr="00A95484">
        <w:rPr>
          <w:b/>
          <w:bCs/>
          <w:i/>
          <w:iCs/>
        </w:rPr>
        <w:t>без ограничения срока действия</w:t>
      </w:r>
    </w:p>
    <w:p w:rsidR="00B92F06" w:rsidRPr="00A95484" w:rsidRDefault="00B92F06" w:rsidP="00B92F06">
      <w:pPr>
        <w:ind w:firstLine="539"/>
        <w:jc w:val="both"/>
        <w:rPr>
          <w:b/>
          <w:bCs/>
          <w:i/>
          <w:iCs/>
        </w:rPr>
      </w:pPr>
      <w:r w:rsidRPr="00A95484">
        <w:t xml:space="preserve">Орган, выдавший лицензию: </w:t>
      </w:r>
      <w:r w:rsidRPr="00A95484">
        <w:rPr>
          <w:b/>
          <w:bCs/>
          <w:i/>
          <w:iCs/>
        </w:rPr>
        <w:t>ФКЦБ России</w:t>
      </w:r>
    </w:p>
    <w:p w:rsidR="007D6323" w:rsidRPr="00A95484" w:rsidRDefault="007D6323" w:rsidP="007F2F4C">
      <w:pPr>
        <w:jc w:val="both"/>
        <w:rPr>
          <w:b/>
          <w:bCs/>
          <w:i/>
          <w:iCs/>
        </w:rPr>
      </w:pPr>
    </w:p>
    <w:p w:rsidR="0062217E" w:rsidRPr="00A95484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 xml:space="preserve">Основные функции </w:t>
      </w:r>
      <w:r w:rsidR="00FD5743" w:rsidRPr="00A95484">
        <w:rPr>
          <w:b/>
          <w:i/>
          <w:szCs w:val="22"/>
        </w:rPr>
        <w:t xml:space="preserve">Андеррайтера </w:t>
      </w:r>
      <w:r w:rsidRPr="00A95484">
        <w:rPr>
          <w:b/>
          <w:i/>
          <w:szCs w:val="22"/>
        </w:rPr>
        <w:t>пр</w:t>
      </w:r>
      <w:r w:rsidR="00D12E0F" w:rsidRPr="00A95484">
        <w:rPr>
          <w:b/>
          <w:i/>
          <w:szCs w:val="22"/>
        </w:rPr>
        <w:t>иведены в пункте 8.3 Программы.</w:t>
      </w:r>
    </w:p>
    <w:p w:rsidR="00D12E0F" w:rsidRPr="00A95484" w:rsidRDefault="00D12E0F" w:rsidP="00D12E0F">
      <w:pPr>
        <w:ind w:firstLine="539"/>
        <w:jc w:val="both"/>
        <w:rPr>
          <w:szCs w:val="22"/>
        </w:rPr>
      </w:pPr>
      <w:r w:rsidRPr="00A95484">
        <w:rPr>
          <w:szCs w:val="22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Pr="00A95484">
        <w:rPr>
          <w:iCs/>
          <w:szCs w:val="22"/>
        </w:rPr>
        <w:t xml:space="preserve"> </w:t>
      </w:r>
      <w:r w:rsidRPr="00A95484">
        <w:rPr>
          <w:b/>
          <w:bCs/>
          <w:i/>
          <w:iCs/>
        </w:rPr>
        <w:t>у лиц, оказывающих Эмитенту услуги по размещению</w:t>
      </w:r>
      <w:r w:rsidRPr="00A95484">
        <w:rPr>
          <w:b/>
          <w:bCs/>
          <w:szCs w:val="22"/>
        </w:rPr>
        <w:t xml:space="preserve"> </w:t>
      </w:r>
      <w:r w:rsidRPr="00A95484">
        <w:rPr>
          <w:b/>
          <w:bCs/>
          <w:i/>
          <w:iCs/>
        </w:rPr>
        <w:t>и организации размещения Биржевых облигаций, такая обязанность отсутствует.</w:t>
      </w:r>
    </w:p>
    <w:p w:rsidR="00D12E0F" w:rsidRPr="00A95484" w:rsidRDefault="00D12E0F" w:rsidP="00D12E0F">
      <w:pPr>
        <w:ind w:firstLine="539"/>
        <w:jc w:val="both"/>
        <w:rPr>
          <w:szCs w:val="22"/>
        </w:rPr>
      </w:pPr>
      <w:r w:rsidRPr="00A95484">
        <w:rPr>
          <w:szCs w:val="22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</w:t>
      </w:r>
      <w:r w:rsidRPr="00A95484">
        <w:rPr>
          <w:szCs w:val="22"/>
        </w:rPr>
        <w:lastRenderedPageBreak/>
        <w:t>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A95484">
        <w:rPr>
          <w:b/>
          <w:bCs/>
          <w:i/>
          <w:iCs/>
        </w:rPr>
        <w:t xml:space="preserve"> у лиц, оказывающих Эмитенту услуги по размещению 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:rsidR="009A3ED6" w:rsidRPr="00A95484" w:rsidRDefault="009A3ED6" w:rsidP="009A3ED6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:rsidR="009A3ED6" w:rsidRPr="00A95484" w:rsidRDefault="009A3ED6" w:rsidP="007F2F4C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8.4. Цена (цены) или порядок определения цены размещения биржевых облигаций</w:t>
      </w:r>
    </w:p>
    <w:p w:rsidR="00BF44B0" w:rsidRPr="00A95484" w:rsidRDefault="00BF44B0" w:rsidP="00973E28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:rsidR="007D6323" w:rsidRPr="00A95484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8.5. Условия и порядок оплаты биржевых облигаций</w:t>
      </w:r>
    </w:p>
    <w:p w:rsidR="007D6323" w:rsidRPr="00A95484" w:rsidRDefault="004E2E61" w:rsidP="004E2E61">
      <w:pPr>
        <w:ind w:firstLine="567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:rsidR="00761537" w:rsidRPr="00A95484" w:rsidRDefault="00761537" w:rsidP="00761537">
      <w:pPr>
        <w:pStyle w:val="StyleJustifiedFirstline095cm1"/>
      </w:pPr>
      <w:r w:rsidRPr="00A95484">
        <w:t>Реквизиты счета, на который должны перечисляться денежные средства в оплату ценных бумаг выпуска:</w:t>
      </w:r>
    </w:p>
    <w:p w:rsidR="00761537" w:rsidRPr="00A95484" w:rsidRDefault="00761537" w:rsidP="00761537">
      <w:pPr>
        <w:ind w:firstLine="539"/>
        <w:jc w:val="both"/>
        <w:rPr>
          <w:b/>
        </w:rPr>
      </w:pPr>
      <w:r w:rsidRPr="00A95484">
        <w:t xml:space="preserve">Полное фирменное наименование: </w:t>
      </w:r>
      <w:r w:rsidRPr="00A95484">
        <w:rPr>
          <w:b/>
          <w:bCs/>
          <w:i/>
          <w:iCs/>
        </w:rPr>
        <w:t>Акционерное общество «Сбербанк КИБ»</w:t>
      </w:r>
    </w:p>
    <w:p w:rsidR="00761537" w:rsidRPr="00A95484" w:rsidRDefault="00761537" w:rsidP="00761537">
      <w:pPr>
        <w:ind w:firstLine="539"/>
        <w:jc w:val="both"/>
        <w:rPr>
          <w:b/>
          <w:bCs/>
          <w:i/>
          <w:iCs/>
        </w:rPr>
      </w:pPr>
      <w:r w:rsidRPr="00A95484">
        <w:t xml:space="preserve">Сокращенное фирменное наименование: </w:t>
      </w:r>
      <w:r w:rsidRPr="00A95484">
        <w:rPr>
          <w:b/>
          <w:bCs/>
          <w:i/>
          <w:iCs/>
        </w:rPr>
        <w:t>АО «Сбербанк КИБ»</w:t>
      </w:r>
    </w:p>
    <w:p w:rsidR="00761537" w:rsidRPr="00A95484" w:rsidRDefault="00761537" w:rsidP="00761537">
      <w:pPr>
        <w:ind w:firstLine="539"/>
        <w:jc w:val="both"/>
        <w:rPr>
          <w:b/>
          <w:bCs/>
          <w:i/>
          <w:iCs/>
        </w:rPr>
      </w:pPr>
      <w:r w:rsidRPr="00A95484">
        <w:t xml:space="preserve">ИНН: </w:t>
      </w:r>
      <w:r w:rsidRPr="00A95484">
        <w:rPr>
          <w:b/>
          <w:bCs/>
          <w:i/>
          <w:iCs/>
        </w:rPr>
        <w:t>7710048970</w:t>
      </w:r>
    </w:p>
    <w:p w:rsidR="00761537" w:rsidRPr="00A95484" w:rsidRDefault="00761537" w:rsidP="00761537">
      <w:pPr>
        <w:ind w:firstLine="539"/>
        <w:jc w:val="both"/>
        <w:rPr>
          <w:lang w:eastAsia="zh-TW"/>
        </w:rPr>
      </w:pPr>
      <w:r w:rsidRPr="00A95484">
        <w:rPr>
          <w:lang w:eastAsia="zh-TW"/>
        </w:rPr>
        <w:t xml:space="preserve">КПП: </w:t>
      </w:r>
      <w:r w:rsidR="00230AAB" w:rsidRPr="00A95484">
        <w:rPr>
          <w:b/>
          <w:i/>
          <w:lang w:eastAsia="zh-TW"/>
        </w:rPr>
        <w:t>773601001</w:t>
      </w:r>
    </w:p>
    <w:p w:rsidR="00761537" w:rsidRPr="00A95484" w:rsidRDefault="00761537" w:rsidP="00761537">
      <w:pPr>
        <w:ind w:firstLine="539"/>
        <w:jc w:val="both"/>
      </w:pPr>
      <w:r w:rsidRPr="00A95484">
        <w:t xml:space="preserve">Номер счета: </w:t>
      </w:r>
      <w:r w:rsidRPr="00A95484">
        <w:rPr>
          <w:b/>
          <w:bCs/>
          <w:i/>
          <w:iCs/>
        </w:rPr>
        <w:t>30411810600019000033</w:t>
      </w:r>
    </w:p>
    <w:p w:rsidR="00761537" w:rsidRPr="00A95484" w:rsidRDefault="00761537" w:rsidP="00761537">
      <w:pPr>
        <w:pStyle w:val="StyleJustifiedFirstline095cm1"/>
      </w:pPr>
    </w:p>
    <w:p w:rsidR="00761537" w:rsidRPr="00A95484" w:rsidRDefault="00761537" w:rsidP="00761537">
      <w:pPr>
        <w:pStyle w:val="StyleJustifiedFirstline095cm1"/>
      </w:pPr>
      <w:r w:rsidRPr="00A95484">
        <w:t xml:space="preserve">Кредитная организация: </w:t>
      </w:r>
    </w:p>
    <w:p w:rsidR="00761537" w:rsidRPr="00A95484" w:rsidRDefault="00761537" w:rsidP="00761537">
      <w:pPr>
        <w:ind w:firstLine="539"/>
        <w:jc w:val="both"/>
        <w:rPr>
          <w:b/>
          <w:bCs/>
          <w:i/>
          <w:iCs/>
        </w:rPr>
      </w:pPr>
      <w:r w:rsidRPr="00A95484">
        <w:t xml:space="preserve">Полное фирменное наименование на русском языке: </w:t>
      </w:r>
      <w:r w:rsidRPr="00A95484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761537" w:rsidRPr="00A95484" w:rsidRDefault="00761537" w:rsidP="00761537">
      <w:pPr>
        <w:ind w:firstLine="539"/>
        <w:jc w:val="both"/>
        <w:rPr>
          <w:b/>
          <w:bCs/>
          <w:i/>
          <w:iCs/>
        </w:rPr>
      </w:pPr>
      <w:r w:rsidRPr="00A95484">
        <w:t xml:space="preserve">Сокращенное фирменное наименование на русском языке: </w:t>
      </w:r>
      <w:r w:rsidRPr="00A95484">
        <w:rPr>
          <w:b/>
          <w:bCs/>
          <w:i/>
          <w:iCs/>
        </w:rPr>
        <w:t>НКО АО НРД.</w:t>
      </w:r>
    </w:p>
    <w:p w:rsidR="00761537" w:rsidRPr="00A95484" w:rsidRDefault="00761537" w:rsidP="00761537">
      <w:pPr>
        <w:ind w:firstLine="539"/>
        <w:jc w:val="both"/>
        <w:rPr>
          <w:b/>
          <w:bCs/>
          <w:i/>
          <w:iCs/>
        </w:rPr>
      </w:pPr>
      <w:r w:rsidRPr="00A95484">
        <w:t xml:space="preserve">Место нахождения: </w:t>
      </w:r>
      <w:r w:rsidRPr="00A95484">
        <w:rPr>
          <w:b/>
          <w:bCs/>
          <w:i/>
          <w:iCs/>
        </w:rPr>
        <w:t>город Москва, улица Спартаковская, дом 12</w:t>
      </w:r>
    </w:p>
    <w:p w:rsidR="00761537" w:rsidRPr="00A95484" w:rsidRDefault="00761537" w:rsidP="00761537">
      <w:pPr>
        <w:ind w:firstLine="539"/>
        <w:jc w:val="both"/>
        <w:rPr>
          <w:b/>
          <w:bCs/>
          <w:i/>
          <w:iCs/>
        </w:rPr>
      </w:pPr>
      <w:r w:rsidRPr="00A95484">
        <w:t>Адрес для направления корреспонденции (почтовый адрес):</w:t>
      </w:r>
      <w:r w:rsidRPr="00A95484">
        <w:rPr>
          <w:b/>
          <w:bCs/>
          <w:i/>
          <w:iCs/>
        </w:rPr>
        <w:t xml:space="preserve"> 105066, г. Москва, ул. Спартаковская, дом 12</w:t>
      </w:r>
    </w:p>
    <w:p w:rsidR="00761537" w:rsidRPr="00A95484" w:rsidRDefault="00761537" w:rsidP="00761537">
      <w:pPr>
        <w:ind w:firstLine="539"/>
        <w:jc w:val="both"/>
      </w:pPr>
      <w:r w:rsidRPr="00A95484">
        <w:t xml:space="preserve">БИК: </w:t>
      </w:r>
      <w:r w:rsidRPr="00A95484">
        <w:rPr>
          <w:b/>
          <w:bCs/>
          <w:i/>
          <w:iCs/>
        </w:rPr>
        <w:t>044525505</w:t>
      </w:r>
    </w:p>
    <w:p w:rsidR="00761537" w:rsidRPr="00A95484" w:rsidRDefault="00761537" w:rsidP="00761537">
      <w:pPr>
        <w:ind w:firstLine="539"/>
        <w:jc w:val="both"/>
      </w:pPr>
      <w:r w:rsidRPr="00A95484">
        <w:t xml:space="preserve">КПП: </w:t>
      </w:r>
      <w:r w:rsidRPr="00A95484">
        <w:rPr>
          <w:b/>
          <w:bCs/>
          <w:i/>
          <w:iCs/>
        </w:rPr>
        <w:t>770101001</w:t>
      </w:r>
    </w:p>
    <w:p w:rsidR="00761537" w:rsidRPr="00A95484" w:rsidRDefault="00761537" w:rsidP="00761537">
      <w:pPr>
        <w:ind w:firstLine="539"/>
        <w:jc w:val="both"/>
      </w:pPr>
      <w:r w:rsidRPr="00A95484">
        <w:t xml:space="preserve">К/с: </w:t>
      </w:r>
      <w:r w:rsidRPr="00A95484">
        <w:rPr>
          <w:b/>
          <w:bCs/>
          <w:i/>
          <w:iCs/>
        </w:rPr>
        <w:t>30105810345250000505</w:t>
      </w:r>
    </w:p>
    <w:p w:rsidR="002603E8" w:rsidRPr="00A95484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:rsidR="002603E8" w:rsidRPr="00A95484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:rsidR="00BF44B0" w:rsidRPr="00A95484" w:rsidRDefault="00BF44B0" w:rsidP="00931549">
      <w:pPr>
        <w:adjustRightInd w:val="0"/>
        <w:ind w:firstLine="539"/>
        <w:jc w:val="both"/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:rsidR="007D6323" w:rsidRPr="00A95484" w:rsidRDefault="007D6323" w:rsidP="007F2F4C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9. Порядок и условия погашения и выплаты доходов по облигациям</w:t>
      </w: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9.1. Форма погашения облигаций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7D6323" w:rsidRPr="00A95484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9.2. Порядок и условия погашения облигаций</w:t>
      </w:r>
    </w:p>
    <w:p w:rsidR="007D6323" w:rsidRPr="00A95484" w:rsidRDefault="007D6323" w:rsidP="007F2F4C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Срок (дата) погашения Биржевых облигаций или порядок ее определения.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90201" w:rsidRPr="00A95484">
        <w:rPr>
          <w:b/>
          <w:bCs/>
          <w:i/>
          <w:iCs/>
          <w:szCs w:val="22"/>
        </w:rPr>
        <w:t>3 640 (Три тысячи шестьсот сороковой</w:t>
      </w:r>
      <w:r w:rsidR="00873CCA" w:rsidRPr="00A95484">
        <w:rPr>
          <w:b/>
          <w:bCs/>
          <w:i/>
          <w:iCs/>
          <w:szCs w:val="22"/>
        </w:rPr>
        <w:t>)</w:t>
      </w:r>
      <w:r w:rsidRPr="00A95484">
        <w:rPr>
          <w:b/>
          <w:bCs/>
          <w:i/>
          <w:iCs/>
        </w:rPr>
        <w:t xml:space="preserve"> день с даты начала размещения Биржевых облигаций.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:rsidR="007D6323" w:rsidRPr="00A95484" w:rsidRDefault="007D6323" w:rsidP="007F2F4C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Порядок и условия погашения Биржевых облигаций.</w:t>
      </w:r>
    </w:p>
    <w:p w:rsidR="00230AAB" w:rsidRPr="00A95484" w:rsidRDefault="00230AAB" w:rsidP="00230AAB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 w:rsidRPr="00A95484">
        <w:rPr>
          <w:rFonts w:eastAsia="Times New Roman,BoldItalic"/>
          <w:b/>
          <w:bCs/>
          <w:i/>
          <w:iCs/>
          <w:szCs w:val="22"/>
        </w:rPr>
        <w:lastRenderedPageBreak/>
        <w:t xml:space="preserve">Погашение Биржевых облигаций производится денежными средствами </w:t>
      </w:r>
      <w:r w:rsidRPr="00A95484">
        <w:rPr>
          <w:b/>
          <w:bCs/>
          <w:i/>
          <w:szCs w:val="22"/>
          <w:lang w:eastAsia="en-US"/>
        </w:rPr>
        <w:t>в рублях</w:t>
      </w:r>
      <w:r w:rsidRPr="00A95484">
        <w:rPr>
          <w:rFonts w:eastAsia="Times New Roman,BoldItalic"/>
          <w:b/>
          <w:bCs/>
          <w:i/>
          <w:iCs/>
          <w:szCs w:val="22"/>
        </w:rPr>
        <w:t xml:space="preserve"> Российской Федерации в безналичном порядке.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:rsidR="0096086A" w:rsidRPr="00A95484" w:rsidRDefault="0096086A" w:rsidP="0096086A">
      <w:pPr>
        <w:adjustRightInd w:val="0"/>
        <w:jc w:val="both"/>
        <w:rPr>
          <w:szCs w:val="22"/>
        </w:rPr>
      </w:pPr>
    </w:p>
    <w:p w:rsidR="0096086A" w:rsidRPr="00A95484" w:rsidRDefault="0096086A" w:rsidP="0096086A">
      <w:pPr>
        <w:adjustRightInd w:val="0"/>
        <w:ind w:firstLine="539"/>
        <w:jc w:val="both"/>
      </w:pPr>
      <w:r w:rsidRPr="00A95484">
        <w:t>9.2.1. Порядок определения выплат по каждой структурной облигации при ее погашении</w:t>
      </w:r>
    </w:p>
    <w:p w:rsidR="0096086A" w:rsidRPr="00A95484" w:rsidRDefault="0096086A" w:rsidP="0096086A">
      <w:pPr>
        <w:adjustRightInd w:val="0"/>
        <w:ind w:firstLine="540"/>
        <w:jc w:val="both"/>
        <w:rPr>
          <w:b/>
          <w:i/>
        </w:rPr>
      </w:pPr>
      <w:r w:rsidRPr="00A95484">
        <w:rPr>
          <w:b/>
          <w:i/>
        </w:rPr>
        <w:t>Биржевые облигации не являются структурными облигациями.</w:t>
      </w:r>
    </w:p>
    <w:p w:rsidR="0096086A" w:rsidRPr="00A95484" w:rsidRDefault="0096086A" w:rsidP="0096086A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9.3. Порядок определения дохода, выплачиваемого по каждой облигации</w:t>
      </w:r>
    </w:p>
    <w:p w:rsidR="00BF44B0" w:rsidRPr="00A95484" w:rsidRDefault="00BF44B0" w:rsidP="00931549">
      <w:pPr>
        <w:adjustRightInd w:val="0"/>
        <w:ind w:firstLine="539"/>
        <w:jc w:val="both"/>
        <w:rPr>
          <w:szCs w:val="22"/>
        </w:rPr>
      </w:pPr>
      <w:r w:rsidRPr="00A95484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Доходом</w:t>
      </w:r>
      <w:r w:rsidRPr="00A95484">
        <w:rPr>
          <w:b/>
          <w:bCs/>
          <w:i/>
          <w:szCs w:val="22"/>
        </w:rPr>
        <w:t xml:space="preserve"> по </w:t>
      </w:r>
      <w:r w:rsidRPr="00A95484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7D6323" w:rsidRPr="00A95484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Биржевые облигации имеют </w:t>
      </w:r>
      <w:r w:rsidR="00230AAB" w:rsidRPr="00A95484">
        <w:rPr>
          <w:rStyle w:val="Style11ptBlue"/>
          <w:b/>
          <w:i/>
          <w:color w:val="auto"/>
          <w:lang w:eastAsia="ja-JP"/>
        </w:rPr>
        <w:t>2</w:t>
      </w:r>
      <w:r w:rsidR="00077EB9" w:rsidRPr="00A95484">
        <w:rPr>
          <w:rStyle w:val="Style11ptBlue"/>
          <w:b/>
          <w:i/>
          <w:color w:val="auto"/>
          <w:lang w:eastAsia="ja-JP"/>
        </w:rPr>
        <w:t>0</w:t>
      </w:r>
      <w:r w:rsidRPr="00A95484">
        <w:rPr>
          <w:rStyle w:val="Style11ptBlue"/>
          <w:b/>
          <w:i/>
          <w:color w:val="auto"/>
        </w:rPr>
        <w:t xml:space="preserve"> (</w:t>
      </w:r>
      <w:r w:rsidR="00230AAB" w:rsidRPr="00A95484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A95484">
        <w:rPr>
          <w:rStyle w:val="Style11ptBlue"/>
          <w:b/>
          <w:i/>
          <w:color w:val="auto"/>
        </w:rPr>
        <w:t>)</w:t>
      </w:r>
      <w:r w:rsidRPr="00A95484">
        <w:rPr>
          <w:b/>
          <w:bCs/>
          <w:i/>
          <w:iCs/>
        </w:rPr>
        <w:t xml:space="preserve"> купонных периодов. 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A95484">
        <w:rPr>
          <w:rStyle w:val="Style11ptBlue"/>
          <w:b/>
          <w:i/>
          <w:color w:val="auto"/>
        </w:rPr>
        <w:t>182 (Ста восьмидесяти двум)</w:t>
      </w:r>
      <w:r w:rsidRPr="00A95484">
        <w:rPr>
          <w:b/>
          <w:bCs/>
          <w:i/>
          <w:iCs/>
        </w:rPr>
        <w:t xml:space="preserve"> дням.</w:t>
      </w:r>
    </w:p>
    <w:p w:rsidR="007D6323" w:rsidRPr="00A95484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ДНКП(i) = ДНР +</w:t>
      </w:r>
      <w:r w:rsidRPr="00A95484">
        <w:rPr>
          <w:b/>
          <w:bCs/>
          <w:i/>
          <w:szCs w:val="22"/>
        </w:rPr>
        <w:t>182</w:t>
      </w:r>
      <w:r w:rsidRPr="00A95484">
        <w:rPr>
          <w:b/>
          <w:bCs/>
          <w:i/>
          <w:iCs/>
        </w:rPr>
        <w:t xml:space="preserve"> * (i-1), где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i - порядковый номер соответствующего купонного периода, (i=1,2,3…,</w:t>
      </w:r>
      <w:r w:rsidR="00230AAB" w:rsidRPr="00A95484">
        <w:rPr>
          <w:b/>
          <w:bCs/>
          <w:i/>
          <w:szCs w:val="22"/>
        </w:rPr>
        <w:t>2</w:t>
      </w:r>
      <w:r w:rsidR="00077EB9" w:rsidRPr="00A95484">
        <w:rPr>
          <w:b/>
          <w:bCs/>
          <w:i/>
          <w:szCs w:val="22"/>
        </w:rPr>
        <w:t>0</w:t>
      </w:r>
      <w:r w:rsidRPr="00A95484">
        <w:rPr>
          <w:b/>
          <w:bCs/>
          <w:i/>
          <w:iCs/>
        </w:rPr>
        <w:t>);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ДНКП(</w:t>
      </w:r>
      <w:r w:rsidRPr="00A95484">
        <w:rPr>
          <w:b/>
          <w:bCs/>
          <w:i/>
          <w:szCs w:val="22"/>
          <w:lang w:val="en-US"/>
        </w:rPr>
        <w:t>i</w:t>
      </w:r>
      <w:r w:rsidRPr="00A95484">
        <w:rPr>
          <w:b/>
          <w:bCs/>
          <w:i/>
          <w:szCs w:val="22"/>
        </w:rPr>
        <w:t>) – дата начала i-го купонного периода.</w:t>
      </w:r>
    </w:p>
    <w:p w:rsidR="007D6323" w:rsidRPr="00A95484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ДОКП(i) = ДНР + </w:t>
      </w:r>
      <w:r w:rsidRPr="00A95484">
        <w:rPr>
          <w:b/>
          <w:bCs/>
          <w:i/>
          <w:szCs w:val="22"/>
        </w:rPr>
        <w:t>182</w:t>
      </w:r>
      <w:r w:rsidRPr="00A95484">
        <w:rPr>
          <w:b/>
          <w:bCs/>
          <w:i/>
          <w:iCs/>
        </w:rPr>
        <w:t xml:space="preserve"> * i, где</w:t>
      </w:r>
    </w:p>
    <w:p w:rsidR="00BF44B0" w:rsidRPr="00A95484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i - порядковый номер соответствующего купонного периода, (i=1,2,3…</w:t>
      </w:r>
      <w:r w:rsidR="00230AAB" w:rsidRPr="00A95484">
        <w:rPr>
          <w:b/>
          <w:bCs/>
          <w:i/>
          <w:szCs w:val="22"/>
        </w:rPr>
        <w:t>2</w:t>
      </w:r>
      <w:r w:rsidR="00077EB9" w:rsidRPr="00A95484">
        <w:rPr>
          <w:b/>
          <w:bCs/>
          <w:i/>
          <w:szCs w:val="22"/>
        </w:rPr>
        <w:t>0</w:t>
      </w:r>
      <w:r w:rsidRPr="00A95484">
        <w:rPr>
          <w:b/>
          <w:bCs/>
          <w:i/>
          <w:iCs/>
        </w:rPr>
        <w:t>);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ДОКП(</w:t>
      </w:r>
      <w:r w:rsidRPr="00A95484">
        <w:rPr>
          <w:b/>
          <w:bCs/>
          <w:i/>
          <w:szCs w:val="22"/>
          <w:lang w:val="en-US"/>
        </w:rPr>
        <w:t>i</w:t>
      </w:r>
      <w:r w:rsidRPr="00A95484">
        <w:rPr>
          <w:b/>
          <w:bCs/>
          <w:i/>
          <w:szCs w:val="22"/>
        </w:rPr>
        <w:t>) – дата окончания i-го купонного периода.</w:t>
      </w:r>
    </w:p>
    <w:p w:rsidR="007D6323" w:rsidRPr="00A95484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A95484" w:rsidRDefault="00BF44B0" w:rsidP="00B32CC6">
      <w:pPr>
        <w:adjustRightInd w:val="0"/>
        <w:ind w:firstLine="539"/>
        <w:jc w:val="both"/>
      </w:pPr>
      <w:r w:rsidRPr="00A95484">
        <w:t>Порядок определения размера дохода, выплачиваемого по каждому купону: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A95484">
        <w:rPr>
          <w:b/>
          <w:bCs/>
          <w:i/>
          <w:szCs w:val="22"/>
        </w:rPr>
        <w:t>КД</w:t>
      </w:r>
      <w:r w:rsidRPr="00A95484">
        <w:rPr>
          <w:b/>
          <w:bCs/>
          <w:i/>
          <w:szCs w:val="22"/>
          <w:lang w:val="fr-FR"/>
        </w:rPr>
        <w:t>i= Ci * Nom * (</w:t>
      </w:r>
      <w:r w:rsidRPr="00A95484">
        <w:rPr>
          <w:b/>
          <w:bCs/>
          <w:i/>
          <w:szCs w:val="22"/>
        </w:rPr>
        <w:t>ДОКП</w:t>
      </w:r>
      <w:r w:rsidRPr="00A95484">
        <w:rPr>
          <w:b/>
          <w:bCs/>
          <w:i/>
          <w:szCs w:val="22"/>
          <w:lang w:val="fr-FR"/>
        </w:rPr>
        <w:t xml:space="preserve">(i) - </w:t>
      </w:r>
      <w:r w:rsidRPr="00A95484">
        <w:rPr>
          <w:b/>
          <w:bCs/>
          <w:i/>
          <w:szCs w:val="22"/>
        </w:rPr>
        <w:t>ДНКП</w:t>
      </w:r>
      <w:r w:rsidRPr="00A95484">
        <w:rPr>
          <w:b/>
          <w:bCs/>
          <w:i/>
          <w:szCs w:val="22"/>
          <w:lang w:val="fr-FR"/>
        </w:rPr>
        <w:t xml:space="preserve">(i)) / (365 * 100%), 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где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A95484">
        <w:rPr>
          <w:b/>
          <w:bCs/>
          <w:i/>
          <w:iCs/>
          <w:szCs w:val="22"/>
        </w:rPr>
        <w:t xml:space="preserve"> (в рублях)</w:t>
      </w:r>
      <w:r w:rsidRPr="00A95484">
        <w:rPr>
          <w:b/>
          <w:bCs/>
          <w:i/>
          <w:szCs w:val="22"/>
        </w:rPr>
        <w:t>;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Nom –номинальн</w:t>
      </w:r>
      <w:r w:rsidR="004B7AF2" w:rsidRPr="00A95484">
        <w:rPr>
          <w:b/>
          <w:bCs/>
          <w:i/>
          <w:szCs w:val="22"/>
        </w:rPr>
        <w:t>ая</w:t>
      </w:r>
      <w:r w:rsidR="00956056" w:rsidRPr="00A95484">
        <w:rPr>
          <w:b/>
          <w:bCs/>
          <w:i/>
          <w:szCs w:val="22"/>
        </w:rPr>
        <w:t xml:space="preserve"> стоимост</w:t>
      </w:r>
      <w:r w:rsidR="004B7AF2" w:rsidRPr="00A95484">
        <w:rPr>
          <w:b/>
          <w:bCs/>
          <w:i/>
          <w:szCs w:val="22"/>
        </w:rPr>
        <w:t>ь</w:t>
      </w:r>
      <w:r w:rsidRPr="00A95484">
        <w:rPr>
          <w:b/>
          <w:bCs/>
          <w:i/>
          <w:szCs w:val="22"/>
        </w:rPr>
        <w:t xml:space="preserve"> одной Биржевой облигации (в рублях);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ДНКП(i) – дата начала i-го купонного периода.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szCs w:val="22"/>
        </w:rPr>
        <w:t>ДОКП(i) – дата окончания i-го купонного периода.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i - порядковый номер купонного периода (i=1,2,3…</w:t>
      </w:r>
      <w:r w:rsidR="00230AAB" w:rsidRPr="00A95484">
        <w:rPr>
          <w:b/>
          <w:bCs/>
          <w:i/>
          <w:iCs/>
        </w:rPr>
        <w:t>2</w:t>
      </w:r>
      <w:r w:rsidR="00385168" w:rsidRPr="00A95484">
        <w:rPr>
          <w:b/>
          <w:bCs/>
          <w:i/>
          <w:szCs w:val="22"/>
        </w:rPr>
        <w:t>0</w:t>
      </w:r>
      <w:r w:rsidRPr="00A95484">
        <w:rPr>
          <w:b/>
          <w:bCs/>
          <w:i/>
          <w:iCs/>
        </w:rPr>
        <w:t>).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7D6323" w:rsidRPr="00A95484" w:rsidRDefault="007D6323" w:rsidP="003F43D7">
      <w:pPr>
        <w:jc w:val="both"/>
      </w:pPr>
    </w:p>
    <w:p w:rsidR="00412AE2" w:rsidRPr="00A95484" w:rsidRDefault="00412AE2" w:rsidP="00412AE2">
      <w:pPr>
        <w:ind w:firstLine="539"/>
        <w:jc w:val="both"/>
      </w:pPr>
      <w:r w:rsidRPr="00A95484">
        <w:t>Порядок определения процентной ставки по</w:t>
      </w:r>
      <w:r w:rsidRPr="00A95484" w:rsidDel="00C90BAE">
        <w:t xml:space="preserve"> </w:t>
      </w:r>
      <w:r w:rsidRPr="00A95484">
        <w:t>первому купону:</w:t>
      </w:r>
    </w:p>
    <w:p w:rsidR="00412AE2" w:rsidRPr="00A95484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A95484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A95484">
        <w:rPr>
          <w:b/>
          <w:bCs/>
          <w:i/>
          <w:iCs/>
        </w:rPr>
        <w:t xml:space="preserve">подпункте 2) </w:t>
      </w:r>
      <w:r w:rsidRPr="00A95484">
        <w:rPr>
          <w:b/>
          <w:bCs/>
          <w:i/>
        </w:rPr>
        <w:t>пункта 8.3. Программы.</w:t>
      </w:r>
    </w:p>
    <w:p w:rsidR="00412AE2" w:rsidRPr="00A95484" w:rsidRDefault="00412AE2" w:rsidP="00412AE2">
      <w:pPr>
        <w:ind w:firstLine="539"/>
        <w:jc w:val="both"/>
        <w:rPr>
          <w:b/>
          <w:i/>
        </w:rPr>
      </w:pPr>
      <w:r w:rsidRPr="00A95484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:rsidR="00412AE2" w:rsidRPr="00A95484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:rsidR="00412AE2" w:rsidRPr="00A95484" w:rsidRDefault="00412AE2" w:rsidP="00412AE2">
      <w:pPr>
        <w:adjustRightInd w:val="0"/>
        <w:ind w:firstLine="539"/>
        <w:jc w:val="both"/>
      </w:pPr>
      <w:r w:rsidRPr="00A95484">
        <w:t>Порядок определения процентной ставки по купонам, начиная со второго:</w:t>
      </w:r>
    </w:p>
    <w:p w:rsidR="00E76664" w:rsidRPr="00A95484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lastRenderedPageBreak/>
        <w:t>Процентн</w:t>
      </w:r>
      <w:r w:rsidR="00956056" w:rsidRPr="00A95484">
        <w:rPr>
          <w:b/>
          <w:bCs/>
          <w:i/>
          <w:iCs/>
          <w:szCs w:val="22"/>
        </w:rPr>
        <w:t xml:space="preserve">ые ставки по купонам, начиная со второго </w:t>
      </w:r>
      <w:r w:rsidR="00FD5743" w:rsidRPr="00A95484">
        <w:rPr>
          <w:b/>
          <w:bCs/>
          <w:i/>
          <w:iCs/>
          <w:szCs w:val="22"/>
        </w:rPr>
        <w:t xml:space="preserve">по </w:t>
      </w:r>
      <w:r w:rsidR="00956056" w:rsidRPr="00A95484">
        <w:rPr>
          <w:b/>
          <w:bCs/>
          <w:i/>
          <w:iCs/>
          <w:szCs w:val="22"/>
        </w:rPr>
        <w:t>двадца</w:t>
      </w:r>
      <w:r w:rsidR="00BB646E" w:rsidRPr="00A95484">
        <w:rPr>
          <w:b/>
          <w:bCs/>
          <w:i/>
          <w:iCs/>
          <w:szCs w:val="22"/>
        </w:rPr>
        <w:t>тый</w:t>
      </w:r>
      <w:r w:rsidR="00FD5743" w:rsidRPr="00A95484">
        <w:rPr>
          <w:b/>
          <w:bCs/>
          <w:i/>
          <w:iCs/>
          <w:szCs w:val="22"/>
        </w:rPr>
        <w:t xml:space="preserve"> включительно</w:t>
      </w:r>
      <w:r w:rsidRPr="00A95484">
        <w:rPr>
          <w:b/>
          <w:bCs/>
          <w:i/>
          <w:iCs/>
          <w:szCs w:val="22"/>
        </w:rPr>
        <w:t xml:space="preserve">, определяются в порядке, установленном п. «Порядок определения процентной ставки по купонам, начиная со второго» </w:t>
      </w:r>
      <w:r w:rsidR="00F86F82" w:rsidRPr="00A95484">
        <w:rPr>
          <w:b/>
          <w:bCs/>
          <w:i/>
          <w:iCs/>
          <w:szCs w:val="22"/>
        </w:rPr>
        <w:t>пункта </w:t>
      </w:r>
      <w:r w:rsidRPr="00A95484">
        <w:rPr>
          <w:b/>
          <w:bCs/>
          <w:i/>
          <w:iCs/>
          <w:szCs w:val="22"/>
        </w:rPr>
        <w:t>9.3. Программы.</w:t>
      </w:r>
    </w:p>
    <w:p w:rsidR="00C45C38" w:rsidRPr="00A95484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A95484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:rsidR="007D6323" w:rsidRPr="00A95484" w:rsidRDefault="007D6323" w:rsidP="003F43D7">
      <w:pPr>
        <w:adjustRightInd w:val="0"/>
        <w:jc w:val="both"/>
        <w:rPr>
          <w:szCs w:val="22"/>
        </w:rPr>
      </w:pPr>
    </w:p>
    <w:p w:rsidR="004E2E61" w:rsidRPr="00A95484" w:rsidRDefault="00BF44B0" w:rsidP="004E2E61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9.4. Порядок и срок выплаты дохода по облигациям</w:t>
      </w:r>
    </w:p>
    <w:p w:rsidR="004E2E61" w:rsidRPr="00A95484" w:rsidRDefault="004E2E61" w:rsidP="004E2E61">
      <w:pPr>
        <w:adjustRightInd w:val="0"/>
        <w:ind w:firstLine="540"/>
        <w:jc w:val="both"/>
        <w:rPr>
          <w:szCs w:val="22"/>
        </w:rPr>
      </w:pPr>
      <w:r w:rsidRPr="00A95484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:rsidR="007D6323" w:rsidRPr="00A95484" w:rsidRDefault="004E2E61" w:rsidP="004E2E61">
      <w:pPr>
        <w:adjustRightInd w:val="0"/>
        <w:ind w:firstLine="540"/>
        <w:jc w:val="both"/>
        <w:rPr>
          <w:szCs w:val="22"/>
        </w:rPr>
      </w:pPr>
      <w:r w:rsidRPr="00A95484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 w:rsidRPr="00A95484">
        <w:rPr>
          <w:b/>
          <w:bCs/>
          <w:i/>
          <w:iCs/>
        </w:rPr>
        <w:t>.</w:t>
      </w:r>
    </w:p>
    <w:p w:rsidR="004E2E61" w:rsidRPr="00A95484" w:rsidRDefault="004E2E61" w:rsidP="00931549">
      <w:pPr>
        <w:adjustRightInd w:val="0"/>
        <w:ind w:firstLine="54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9.5. Порядок и условия досрочного погашения облигаций</w:t>
      </w:r>
    </w:p>
    <w:p w:rsidR="00956056" w:rsidRPr="00A95484" w:rsidRDefault="00956056" w:rsidP="00956056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Cs w:val="22"/>
        </w:rPr>
      </w:pPr>
      <w:r w:rsidRPr="00A95484">
        <w:rPr>
          <w:rFonts w:eastAsia="Times New Roman,BoldItalic"/>
          <w:b/>
          <w:bCs/>
          <w:i/>
          <w:iCs/>
          <w:szCs w:val="22"/>
        </w:rPr>
        <w:t>Сведения, подлежащие указанию в настоящем пункте, приведены в п. 9.5 Программы биржевых облигаций.</w:t>
      </w:r>
    </w:p>
    <w:p w:rsidR="000E2B92" w:rsidRPr="00A95484" w:rsidRDefault="000E2B92" w:rsidP="000E2B92">
      <w:pPr>
        <w:jc w:val="both"/>
        <w:rPr>
          <w:szCs w:val="22"/>
        </w:rPr>
      </w:pPr>
    </w:p>
    <w:p w:rsidR="00BF44B0" w:rsidRPr="00A95484" w:rsidRDefault="00BF44B0" w:rsidP="00931549">
      <w:pPr>
        <w:ind w:firstLine="539"/>
        <w:jc w:val="both"/>
        <w:rPr>
          <w:szCs w:val="22"/>
        </w:rPr>
      </w:pPr>
      <w:r w:rsidRPr="00A95484">
        <w:rPr>
          <w:szCs w:val="22"/>
        </w:rPr>
        <w:t>9.5.1 Досрочное погашение по требованию их владельцев</w:t>
      </w:r>
    </w:p>
    <w:p w:rsidR="00BE5CE3" w:rsidRPr="00A95484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:rsidR="00BE5CE3" w:rsidRPr="00A95484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:rsidR="007D6323" w:rsidRPr="00A95484" w:rsidRDefault="007D6323" w:rsidP="003F43D7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ind w:firstLine="539"/>
        <w:jc w:val="both"/>
        <w:rPr>
          <w:szCs w:val="22"/>
        </w:rPr>
      </w:pPr>
      <w:r w:rsidRPr="00A95484">
        <w:rPr>
          <w:szCs w:val="22"/>
        </w:rPr>
        <w:t>9.5.2 Досрочное погашение по усмотрению эмитента</w:t>
      </w:r>
    </w:p>
    <w:p w:rsidR="004B7AF2" w:rsidRPr="00A95484" w:rsidRDefault="004B7AF2" w:rsidP="004B7AF2">
      <w:pPr>
        <w:ind w:firstLine="567"/>
        <w:jc w:val="both"/>
        <w:rPr>
          <w:b/>
          <w:i/>
        </w:rPr>
      </w:pPr>
      <w:r w:rsidRPr="00A95484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:rsidR="004B7AF2" w:rsidRPr="00A95484" w:rsidRDefault="004B7AF2" w:rsidP="004B7AF2">
      <w:pPr>
        <w:ind w:firstLine="567"/>
        <w:jc w:val="both"/>
        <w:rPr>
          <w:b/>
          <w:i/>
        </w:rPr>
      </w:pPr>
      <w:r w:rsidRPr="00A95484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:rsidR="004B7AF2" w:rsidRPr="00A95484" w:rsidRDefault="004B7AF2" w:rsidP="004B7AF2">
      <w:pPr>
        <w:ind w:firstLine="567"/>
        <w:jc w:val="both"/>
        <w:rPr>
          <w:b/>
          <w:i/>
        </w:rPr>
      </w:pPr>
      <w:r w:rsidRPr="00A95484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:rsidR="004B7AF2" w:rsidRPr="00A95484" w:rsidRDefault="004B7AF2" w:rsidP="004B7AF2">
      <w:pPr>
        <w:ind w:firstLine="567"/>
        <w:jc w:val="both"/>
        <w:rPr>
          <w:b/>
          <w:i/>
        </w:rPr>
      </w:pPr>
      <w:r w:rsidRPr="00A95484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:rsidR="004B7AF2" w:rsidRPr="00A95484" w:rsidRDefault="004B7AF2" w:rsidP="004B7AF2">
      <w:pPr>
        <w:ind w:firstLine="567"/>
        <w:jc w:val="both"/>
        <w:rPr>
          <w:b/>
          <w:i/>
        </w:rPr>
      </w:pPr>
      <w:r w:rsidRPr="00A95484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:rsidR="004B7AF2" w:rsidRPr="00A95484" w:rsidRDefault="004B7AF2" w:rsidP="004B7AF2">
      <w:pPr>
        <w:ind w:firstLine="567"/>
        <w:jc w:val="both"/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</w:pPr>
    </w:p>
    <w:p w:rsidR="004B7AF2" w:rsidRPr="00A95484" w:rsidRDefault="004B7AF2" w:rsidP="004B7AF2">
      <w:pPr>
        <w:ind w:firstLine="567"/>
        <w:jc w:val="both"/>
        <w:rPr>
          <w:b/>
          <w:i/>
        </w:rPr>
      </w:pPr>
      <w:r w:rsidRPr="00A95484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Дополнительные случаи досрочного погашения по усмотрению Эмитента к случаям, указанным в пункте 9.5.2 Программы, не предусмотрены.</w:t>
      </w:r>
    </w:p>
    <w:p w:rsidR="00BF44B0" w:rsidRPr="00A95484" w:rsidRDefault="00BF44B0" w:rsidP="003F43D7">
      <w:pPr>
        <w:jc w:val="both"/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9.6. Сведения о платежных агентах по облигациям</w:t>
      </w:r>
    </w:p>
    <w:p w:rsidR="00637EF9" w:rsidRPr="00A95484" w:rsidRDefault="00BF44B0" w:rsidP="00B55039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7D6323" w:rsidRPr="00A95484" w:rsidRDefault="007D6323" w:rsidP="003F43D7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10. Сведения о приобретении облигаций</w:t>
      </w:r>
    </w:p>
    <w:p w:rsidR="00C55930" w:rsidRPr="00A95484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10 Программы.</w:t>
      </w:r>
    </w:p>
    <w:p w:rsidR="00C55930" w:rsidRPr="00A95484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BF44B0" w:rsidRPr="00A95484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:rsidR="007D6323" w:rsidRPr="00A95484" w:rsidRDefault="007D6323" w:rsidP="003F43D7">
      <w:pPr>
        <w:jc w:val="both"/>
        <w:rPr>
          <w:b/>
          <w:bCs/>
          <w:i/>
          <w:iCs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:rsidR="00BF44B0" w:rsidRPr="00A95484" w:rsidRDefault="00BF44B0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:rsidR="007D6323" w:rsidRPr="00A95484" w:rsidRDefault="007D6323" w:rsidP="003F43D7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A95484" w:rsidRDefault="007D6323" w:rsidP="003F43D7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13. Сведения о представителе владельцев облигаций</w:t>
      </w:r>
    </w:p>
    <w:p w:rsidR="004B7AF2" w:rsidRPr="00A95484" w:rsidRDefault="004B7AF2" w:rsidP="004B7AF2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7D6323" w:rsidRPr="00A95484" w:rsidRDefault="007D6323" w:rsidP="003F43D7">
      <w:pPr>
        <w:adjustRightInd w:val="0"/>
        <w:jc w:val="both"/>
        <w:rPr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lastRenderedPageBreak/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:rsidR="007D6323" w:rsidRPr="00A95484" w:rsidRDefault="007D6323" w:rsidP="003F43D7">
      <w:pPr>
        <w:adjustRightInd w:val="0"/>
        <w:jc w:val="both"/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BF44B0" w:rsidRPr="00A95484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A95484" w:rsidRDefault="007D6323" w:rsidP="003F43D7">
      <w:pPr>
        <w:adjustRightInd w:val="0"/>
        <w:jc w:val="both"/>
        <w:rPr>
          <w:b/>
          <w:i/>
          <w:szCs w:val="22"/>
        </w:rPr>
      </w:pPr>
    </w:p>
    <w:p w:rsidR="00BF44B0" w:rsidRPr="00A95484" w:rsidRDefault="00BF44B0" w:rsidP="00931549">
      <w:pPr>
        <w:adjustRightInd w:val="0"/>
        <w:ind w:firstLine="540"/>
        <w:jc w:val="both"/>
        <w:rPr>
          <w:szCs w:val="22"/>
        </w:rPr>
      </w:pPr>
      <w:r w:rsidRPr="00A95484">
        <w:rPr>
          <w:szCs w:val="22"/>
        </w:rPr>
        <w:t>16. Иные сведения</w:t>
      </w:r>
    </w:p>
    <w:p w:rsidR="00BF44B0" w:rsidRPr="00A95484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A95484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:rsidR="00BF44B0" w:rsidRPr="00A95484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A95484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A95484">
        <w:rPr>
          <w:b/>
          <w:bCs/>
          <w:i/>
          <w:iCs/>
          <w:szCs w:val="22"/>
        </w:rPr>
        <w:br w:type="page"/>
      </w:r>
      <w:r w:rsidRPr="00A95484">
        <w:rPr>
          <w:b/>
          <w:bCs/>
          <w:i/>
          <w:iCs/>
          <w:szCs w:val="22"/>
        </w:rPr>
        <w:lastRenderedPageBreak/>
        <w:t>Образец сертификата</w:t>
      </w:r>
    </w:p>
    <w:p w:rsidR="00BF44B0" w:rsidRPr="00A95484" w:rsidRDefault="00BF44B0" w:rsidP="000A36AF"/>
    <w:p w:rsidR="00D041F5" w:rsidRPr="00A95484" w:rsidRDefault="00D041F5" w:rsidP="00D041F5">
      <w:pPr>
        <w:keepNext/>
        <w:spacing w:before="40"/>
        <w:ind w:left="284" w:right="707"/>
        <w:jc w:val="center"/>
        <w:outlineLvl w:val="0"/>
      </w:pPr>
      <w:r w:rsidRPr="00A9548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5FC38A" wp14:editId="65DD5EAC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FDB8" id="Rectangle 3" o:spid="_x0000_s1026" style="position:absolute;margin-left:-2.7pt;margin-top:5.15pt;width:482pt;height:69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D041F5" w:rsidRPr="00A95484" w:rsidRDefault="00D041F5" w:rsidP="00D041F5">
      <w:pPr>
        <w:keepNext/>
        <w:spacing w:before="40"/>
        <w:ind w:left="284" w:right="707"/>
        <w:jc w:val="center"/>
        <w:outlineLvl w:val="0"/>
      </w:pPr>
    </w:p>
    <w:p w:rsidR="00BF44B0" w:rsidRPr="00A95484" w:rsidRDefault="00141627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 w:rsidRPr="00A95484">
        <w:rPr>
          <w:b/>
          <w:noProof/>
          <w:sz w:val="28"/>
          <w:szCs w:val="24"/>
        </w:rPr>
        <w:t>Акционерное общество «Тинькофф Банк»</w:t>
      </w:r>
    </w:p>
    <w:p w:rsidR="00BF44B0" w:rsidRPr="00A95484" w:rsidRDefault="00BF44B0" w:rsidP="00D041F5">
      <w:pPr>
        <w:ind w:left="284" w:right="707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rPr>
          <w:b/>
          <w:sz w:val="24"/>
          <w:szCs w:val="24"/>
        </w:rPr>
      </w:pPr>
      <w:r w:rsidRPr="00A95484">
        <w:rPr>
          <w:sz w:val="24"/>
          <w:szCs w:val="24"/>
        </w:rPr>
        <w:t xml:space="preserve">Место нахождения: </w:t>
      </w:r>
      <w:r w:rsidR="002E0E86" w:rsidRPr="00A95484">
        <w:rPr>
          <w:b/>
          <w:sz w:val="24"/>
          <w:szCs w:val="24"/>
        </w:rPr>
        <w:t>123060, город Москва, 1-й Волоколамский проезд, дом 10, строение 1</w:t>
      </w:r>
    </w:p>
    <w:p w:rsidR="00BF44B0" w:rsidRPr="00A95484" w:rsidRDefault="00BF44B0" w:rsidP="00D041F5">
      <w:pPr>
        <w:ind w:left="284" w:right="707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rPr>
          <w:b/>
          <w:sz w:val="24"/>
          <w:szCs w:val="24"/>
        </w:rPr>
      </w:pPr>
      <w:r w:rsidRPr="00A95484">
        <w:rPr>
          <w:sz w:val="24"/>
          <w:szCs w:val="24"/>
        </w:rPr>
        <w:t xml:space="preserve">Почтовый адрес: </w:t>
      </w:r>
      <w:r w:rsidR="002E0E86" w:rsidRPr="00A95484">
        <w:rPr>
          <w:b/>
          <w:sz w:val="24"/>
          <w:szCs w:val="24"/>
        </w:rPr>
        <w:t>123060, город Москва, 1-й Волоколамский проезд, дом 10, строение 1</w:t>
      </w:r>
    </w:p>
    <w:p w:rsidR="00BF44B0" w:rsidRPr="00A95484" w:rsidRDefault="00BF44B0" w:rsidP="002E0E86">
      <w:pPr>
        <w:ind w:right="707"/>
        <w:rPr>
          <w:sz w:val="24"/>
          <w:szCs w:val="24"/>
        </w:rPr>
      </w:pPr>
    </w:p>
    <w:p w:rsidR="00BF44B0" w:rsidRPr="00A95484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A95484">
        <w:rPr>
          <w:rFonts w:hint="eastAsia"/>
          <w:b/>
          <w:bCs/>
          <w:sz w:val="24"/>
          <w:szCs w:val="24"/>
        </w:rPr>
        <w:br/>
      </w:r>
      <w:r w:rsidR="00BF44B0" w:rsidRPr="00A95484">
        <w:rPr>
          <w:b/>
          <w:bCs/>
          <w:sz w:val="24"/>
          <w:szCs w:val="24"/>
        </w:rPr>
        <w:t>СЕРТИФИКАТ</w:t>
      </w:r>
      <w:r w:rsidRPr="00A95484">
        <w:rPr>
          <w:rFonts w:hint="eastAsia"/>
          <w:b/>
          <w:bCs/>
          <w:sz w:val="24"/>
          <w:szCs w:val="24"/>
        </w:rPr>
        <w:br/>
      </w:r>
      <w:r w:rsidRPr="00A95484">
        <w:rPr>
          <w:rFonts w:hint="eastAsia"/>
          <w:b/>
          <w:bCs/>
          <w:sz w:val="24"/>
          <w:szCs w:val="24"/>
        </w:rPr>
        <w:br/>
      </w:r>
      <w:r w:rsidR="00BF44B0" w:rsidRPr="00A95484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AD62A6" w:rsidRPr="00A95484">
        <w:rPr>
          <w:b/>
          <w:bCs/>
          <w:sz w:val="24"/>
          <w:szCs w:val="24"/>
        </w:rPr>
        <w:t>001Р-03R</w:t>
      </w:r>
    </w:p>
    <w:p w:rsidR="00BF44B0" w:rsidRPr="00A95484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jc w:val="center"/>
        <w:rPr>
          <w:sz w:val="24"/>
          <w:szCs w:val="24"/>
        </w:rPr>
      </w:pPr>
      <w:r w:rsidRPr="00A95484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:rsidR="00BF44B0" w:rsidRPr="00A95484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jc w:val="center"/>
        <w:rPr>
          <w:sz w:val="24"/>
          <w:szCs w:val="24"/>
        </w:rPr>
      </w:pPr>
      <w:r w:rsidRPr="00A95484">
        <w:rPr>
          <w:sz w:val="24"/>
          <w:szCs w:val="24"/>
        </w:rPr>
        <w:t>Идентификационный номер выпуска</w:t>
      </w:r>
    </w:p>
    <w:p w:rsidR="00BF44B0" w:rsidRPr="00A95484" w:rsidRDefault="00B72747" w:rsidP="00D041F5">
      <w:pPr>
        <w:ind w:left="284" w:right="707"/>
        <w:jc w:val="center"/>
        <w:rPr>
          <w:sz w:val="24"/>
          <w:szCs w:val="24"/>
        </w:rPr>
      </w:pPr>
      <w:r w:rsidRPr="00A95484">
        <w:rPr>
          <w:sz w:val="24"/>
          <w:szCs w:val="24"/>
        </w:rPr>
        <w:t>______________________________</w:t>
      </w:r>
    </w:p>
    <w:p w:rsidR="00BF44B0" w:rsidRPr="00A95484" w:rsidRDefault="00BF44B0" w:rsidP="00D041F5">
      <w:pPr>
        <w:ind w:left="284" w:right="707"/>
        <w:jc w:val="center"/>
        <w:rPr>
          <w:sz w:val="24"/>
          <w:szCs w:val="24"/>
        </w:rPr>
      </w:pPr>
      <w:r w:rsidRPr="00A95484">
        <w:rPr>
          <w:sz w:val="24"/>
          <w:szCs w:val="24"/>
        </w:rPr>
        <w:t>Дата присвоения идентификационного номера</w:t>
      </w:r>
    </w:p>
    <w:p w:rsidR="00BF44B0" w:rsidRPr="00A95484" w:rsidRDefault="00B72747" w:rsidP="00D041F5">
      <w:pPr>
        <w:ind w:left="284" w:right="707"/>
        <w:jc w:val="center"/>
        <w:rPr>
          <w:sz w:val="24"/>
          <w:szCs w:val="24"/>
        </w:rPr>
      </w:pPr>
      <w:r w:rsidRPr="00A95484">
        <w:rPr>
          <w:sz w:val="24"/>
          <w:szCs w:val="24"/>
        </w:rPr>
        <w:t>_____________________</w:t>
      </w:r>
    </w:p>
    <w:p w:rsidR="00B72747" w:rsidRPr="00A95484" w:rsidRDefault="00B72747" w:rsidP="00D041F5">
      <w:pPr>
        <w:ind w:left="284" w:right="707"/>
        <w:jc w:val="center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jc w:val="both"/>
        <w:rPr>
          <w:sz w:val="24"/>
          <w:szCs w:val="24"/>
        </w:rPr>
      </w:pPr>
      <w:r w:rsidRPr="00A95484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:rsidR="00BF44B0" w:rsidRPr="00A95484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A95484" w:rsidRDefault="00141627" w:rsidP="00D041F5">
      <w:pPr>
        <w:ind w:left="284" w:right="707"/>
        <w:jc w:val="both"/>
        <w:rPr>
          <w:sz w:val="24"/>
          <w:szCs w:val="24"/>
        </w:rPr>
      </w:pPr>
      <w:r w:rsidRPr="00A95484">
        <w:rPr>
          <w:sz w:val="24"/>
          <w:szCs w:val="24"/>
        </w:rPr>
        <w:t>Акционерное общество «Тинькофф Банк»</w:t>
      </w:r>
      <w:r w:rsidR="00BF44B0" w:rsidRPr="00A95484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242B" w:rsidRPr="00A95484" w:rsidRDefault="0095242B" w:rsidP="00D041F5">
      <w:pPr>
        <w:ind w:left="284" w:right="707"/>
        <w:jc w:val="both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jc w:val="both"/>
        <w:rPr>
          <w:sz w:val="24"/>
          <w:szCs w:val="24"/>
        </w:rPr>
      </w:pPr>
      <w:r w:rsidRPr="00A95484">
        <w:rPr>
          <w:sz w:val="24"/>
          <w:szCs w:val="24"/>
        </w:rPr>
        <w:t xml:space="preserve">Настоящий сертификат удостоверяет права </w:t>
      </w:r>
      <w:r w:rsidR="00A41000" w:rsidRPr="00A95484">
        <w:rPr>
          <w:rStyle w:val="Style11ptBlue"/>
          <w:color w:val="auto"/>
          <w:sz w:val="24"/>
          <w:szCs w:val="24"/>
        </w:rPr>
        <w:t>10 000 000 (Десять</w:t>
      </w:r>
      <w:r w:rsidR="00506666" w:rsidRPr="00A95484">
        <w:rPr>
          <w:rStyle w:val="Style11ptBlue"/>
          <w:color w:val="auto"/>
          <w:sz w:val="24"/>
          <w:szCs w:val="24"/>
        </w:rPr>
        <w:t xml:space="preserve"> миллионов)</w:t>
      </w:r>
      <w:r w:rsidRPr="00A95484">
        <w:rPr>
          <w:sz w:val="24"/>
          <w:szCs w:val="24"/>
        </w:rPr>
        <w:t xml:space="preserve"> </w:t>
      </w:r>
      <w:r w:rsidRPr="00A95484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A41000" w:rsidRPr="00A95484">
        <w:rPr>
          <w:rStyle w:val="Style11ptBlue"/>
          <w:color w:val="auto"/>
          <w:sz w:val="24"/>
          <w:szCs w:val="24"/>
        </w:rPr>
        <w:t>10 000 000 000 (Десять</w:t>
      </w:r>
      <w:r w:rsidR="00506666" w:rsidRPr="00A95484">
        <w:rPr>
          <w:rStyle w:val="Style11ptBlue"/>
          <w:color w:val="auto"/>
          <w:sz w:val="24"/>
          <w:szCs w:val="24"/>
        </w:rPr>
        <w:t xml:space="preserve"> миллиардов)</w:t>
      </w:r>
      <w:r w:rsidRPr="00A95484">
        <w:rPr>
          <w:bCs/>
          <w:iCs/>
          <w:sz w:val="24"/>
          <w:szCs w:val="24"/>
        </w:rPr>
        <w:t xml:space="preserve"> российских рублей.</w:t>
      </w:r>
    </w:p>
    <w:p w:rsidR="00BF44B0" w:rsidRPr="00A95484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A95484">
        <w:rPr>
          <w:sz w:val="24"/>
          <w:szCs w:val="24"/>
        </w:rPr>
        <w:t>Общее количество Биржевых облигаций выпуска</w:t>
      </w:r>
      <w:r w:rsidR="007B7609" w:rsidRPr="00A95484">
        <w:rPr>
          <w:rFonts w:hint="eastAsia"/>
          <w:sz w:val="24"/>
          <w:szCs w:val="24"/>
          <w:lang w:eastAsia="ja-JP"/>
        </w:rPr>
        <w:t xml:space="preserve"> </w:t>
      </w:r>
      <w:r w:rsidRPr="00A95484">
        <w:rPr>
          <w:sz w:val="24"/>
          <w:szCs w:val="24"/>
        </w:rPr>
        <w:t>составляет</w:t>
      </w:r>
      <w:r w:rsidR="0095242B" w:rsidRPr="00A95484">
        <w:rPr>
          <w:sz w:val="24"/>
          <w:szCs w:val="24"/>
        </w:rPr>
        <w:t xml:space="preserve"> </w:t>
      </w:r>
      <w:r w:rsidR="00A41000" w:rsidRPr="00A95484">
        <w:rPr>
          <w:rStyle w:val="Style11ptBlue"/>
          <w:color w:val="auto"/>
          <w:sz w:val="24"/>
          <w:szCs w:val="24"/>
        </w:rPr>
        <w:t>10 000 000 (Десять</w:t>
      </w:r>
      <w:r w:rsidR="00506666" w:rsidRPr="00A95484">
        <w:rPr>
          <w:rStyle w:val="Style11ptBlue"/>
          <w:color w:val="auto"/>
          <w:sz w:val="24"/>
          <w:szCs w:val="24"/>
        </w:rPr>
        <w:t xml:space="preserve"> миллионов)</w:t>
      </w:r>
      <w:r w:rsidRPr="00A95484">
        <w:rPr>
          <w:sz w:val="24"/>
          <w:szCs w:val="24"/>
        </w:rPr>
        <w:t xml:space="preserve"> Биржевых облигаций номинальной стоимостью</w:t>
      </w:r>
      <w:r w:rsidR="0095242B" w:rsidRPr="00A95484">
        <w:rPr>
          <w:sz w:val="24"/>
          <w:szCs w:val="24"/>
        </w:rPr>
        <w:t xml:space="preserve"> </w:t>
      </w:r>
      <w:r w:rsidRPr="00A95484">
        <w:rPr>
          <w:bCs/>
          <w:sz w:val="24"/>
          <w:szCs w:val="24"/>
        </w:rPr>
        <w:t>1 000 (Одна тысяча) российских рублей</w:t>
      </w:r>
      <w:r w:rsidRPr="00A95484">
        <w:rPr>
          <w:sz w:val="24"/>
          <w:szCs w:val="24"/>
        </w:rPr>
        <w:t xml:space="preserve"> каждая и общей номинальной стоимостью </w:t>
      </w:r>
      <w:r w:rsidR="00A41000" w:rsidRPr="00A95484">
        <w:rPr>
          <w:rStyle w:val="Style11ptBlue"/>
          <w:color w:val="auto"/>
          <w:sz w:val="24"/>
          <w:szCs w:val="24"/>
        </w:rPr>
        <w:t>10 000 000 000 (Десять</w:t>
      </w:r>
      <w:r w:rsidR="00506666" w:rsidRPr="00A95484">
        <w:rPr>
          <w:rStyle w:val="Style11ptBlue"/>
          <w:color w:val="auto"/>
          <w:sz w:val="24"/>
          <w:szCs w:val="24"/>
        </w:rPr>
        <w:t xml:space="preserve"> миллиардов)</w:t>
      </w:r>
      <w:r w:rsidRPr="00A95484">
        <w:rPr>
          <w:bCs/>
          <w:sz w:val="24"/>
          <w:szCs w:val="24"/>
        </w:rPr>
        <w:t xml:space="preserve"> российских рублей.</w:t>
      </w:r>
    </w:p>
    <w:p w:rsidR="00BF44B0" w:rsidRPr="00A95484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A95484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A95484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F44B0" w:rsidRPr="00A95484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A95484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:rsidR="00BF44B0" w:rsidRPr="00A95484" w:rsidRDefault="00BF44B0" w:rsidP="00D041F5">
      <w:pPr>
        <w:ind w:left="284" w:right="707"/>
        <w:jc w:val="both"/>
      </w:pPr>
    </w:p>
    <w:p w:rsidR="00794B9D" w:rsidRPr="00A95484" w:rsidRDefault="00794B9D">
      <w:pPr>
        <w:autoSpaceDE/>
        <w:autoSpaceDN/>
      </w:pPr>
      <w:r w:rsidRPr="00A95484">
        <w:br w:type="page"/>
      </w:r>
    </w:p>
    <w:p w:rsidR="00794B9D" w:rsidRPr="00A95484" w:rsidRDefault="00794B9D" w:rsidP="000A36AF">
      <w:pPr>
        <w:ind w:left="180" w:right="140"/>
        <w:jc w:val="both"/>
      </w:pPr>
    </w:p>
    <w:p w:rsidR="00BF44B0" w:rsidRPr="00A95484" w:rsidRDefault="002E0E86" w:rsidP="0095242B">
      <w:pPr>
        <w:tabs>
          <w:tab w:val="left" w:pos="5387"/>
        </w:tabs>
        <w:ind w:left="180" w:right="140"/>
        <w:jc w:val="both"/>
      </w:pPr>
      <w:r w:rsidRPr="00A95484">
        <w:t>Должность</w:t>
      </w:r>
      <w:r w:rsidR="00BF44B0" w:rsidRPr="00A95484">
        <w:tab/>
        <w:t xml:space="preserve">________________ / </w:t>
      </w:r>
      <w:r w:rsidRPr="00A95484">
        <w:t>ФИО</w:t>
      </w:r>
      <w:r w:rsidR="00BF44B0" w:rsidRPr="00A95484">
        <w:t xml:space="preserve">/ </w:t>
      </w:r>
    </w:p>
    <w:p w:rsidR="00BF44B0" w:rsidRPr="00A95484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A95484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A95484" w:rsidRDefault="00BF44B0" w:rsidP="0095242B">
      <w:pPr>
        <w:tabs>
          <w:tab w:val="left" w:pos="5387"/>
        </w:tabs>
        <w:ind w:left="180" w:right="140"/>
        <w:jc w:val="both"/>
      </w:pPr>
      <w:r w:rsidRPr="00A95484">
        <w:t>Дата «__» ________ 20__ г.</w:t>
      </w:r>
      <w:r w:rsidR="0095242B" w:rsidRPr="00A95484">
        <w:tab/>
      </w:r>
      <w:r w:rsidRPr="00A95484">
        <w:t>М.П.</w:t>
      </w:r>
      <w:r w:rsidRPr="00A95484">
        <w:br w:type="page"/>
      </w:r>
      <w:r w:rsidRPr="00A95484">
        <w:lastRenderedPageBreak/>
        <w:t>Далее в настоящем документе будут использоваться следующие термины:</w:t>
      </w:r>
    </w:p>
    <w:p w:rsidR="002975A5" w:rsidRPr="00A95484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A95484" w:rsidRDefault="00BF44B0" w:rsidP="00B237C3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F44B0" w:rsidRPr="00A95484" w:rsidRDefault="00BF44B0" w:rsidP="00B237C3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141627" w:rsidRPr="00A95484">
        <w:rPr>
          <w:b/>
          <w:bCs/>
          <w:i/>
          <w:iCs/>
        </w:rPr>
        <w:t>402673B001P02E от 24.03.2017</w:t>
      </w:r>
      <w:r w:rsidRPr="00A95484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F44B0" w:rsidRPr="00A95484" w:rsidRDefault="00BF44B0" w:rsidP="00B237C3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Условия выпуска –</w:t>
      </w:r>
      <w:r w:rsidR="00B237C3" w:rsidRPr="00A95484">
        <w:rPr>
          <w:b/>
          <w:bCs/>
          <w:i/>
          <w:iCs/>
        </w:rPr>
        <w:t xml:space="preserve"> </w:t>
      </w:r>
      <w:r w:rsidRPr="00A95484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BF44B0" w:rsidRPr="00A95484" w:rsidRDefault="00BF44B0" w:rsidP="00B237C3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BF44B0" w:rsidRPr="00A95484" w:rsidRDefault="00BF44B0" w:rsidP="00B237C3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Эмитент – </w:t>
      </w:r>
      <w:r w:rsidR="00141627" w:rsidRPr="00A95484">
        <w:rPr>
          <w:b/>
          <w:bCs/>
          <w:i/>
          <w:iCs/>
        </w:rPr>
        <w:t>Акционерное общество «Тинькофф Банк»</w:t>
      </w:r>
      <w:r w:rsidRPr="00A95484">
        <w:rPr>
          <w:b/>
          <w:bCs/>
          <w:i/>
          <w:iCs/>
        </w:rPr>
        <w:t xml:space="preserve">, </w:t>
      </w:r>
      <w:r w:rsidR="00D12E0F" w:rsidRPr="00A95484">
        <w:rPr>
          <w:b/>
          <w:bCs/>
          <w:i/>
          <w:iCs/>
        </w:rPr>
        <w:t>АО «Тинькофф Банк»</w:t>
      </w:r>
      <w:r w:rsidRPr="00A95484">
        <w:rPr>
          <w:b/>
          <w:bCs/>
          <w:i/>
          <w:iCs/>
        </w:rPr>
        <w:t>.</w:t>
      </w:r>
    </w:p>
    <w:p w:rsidR="00BF44B0" w:rsidRPr="00A95484" w:rsidRDefault="00BF44B0" w:rsidP="00B237C3">
      <w:pPr>
        <w:ind w:firstLine="539"/>
        <w:jc w:val="both"/>
        <w:rPr>
          <w:b/>
          <w:bCs/>
          <w:i/>
          <w:iCs/>
        </w:rPr>
      </w:pPr>
    </w:p>
    <w:p w:rsidR="002975A5" w:rsidRPr="00A95484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A95484" w:rsidRDefault="00BF44B0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A95484">
        <w:rPr>
          <w:b/>
          <w:bCs/>
          <w:lang w:eastAsia="en-US"/>
        </w:rPr>
        <w:t>Идентификационные признаки выпуска биржевых облигаций:</w:t>
      </w:r>
    </w:p>
    <w:p w:rsidR="00BF44B0" w:rsidRPr="00A95484" w:rsidRDefault="00BF44B0" w:rsidP="00B237C3"/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A95484">
        <w:rPr>
          <w:b/>
          <w:bCs/>
          <w:i/>
          <w:iCs/>
        </w:rPr>
        <w:t>Биржевые облигации на предъявителя.</w:t>
      </w:r>
    </w:p>
    <w:p w:rsidR="00BF44B0" w:rsidRPr="00A95484" w:rsidRDefault="00BF44B0" w:rsidP="005063F1">
      <w:pPr>
        <w:ind w:firstLine="539"/>
        <w:jc w:val="both"/>
        <w:rPr>
          <w:b/>
          <w:bCs/>
          <w:i/>
          <w:iCs/>
        </w:rPr>
      </w:pPr>
      <w:r w:rsidRPr="00A95484">
        <w:rPr>
          <w:lang w:eastAsia="en-US"/>
        </w:rPr>
        <w:t xml:space="preserve">Серия: </w:t>
      </w:r>
      <w:r w:rsidR="00AD62A6" w:rsidRPr="00A95484">
        <w:rPr>
          <w:b/>
          <w:bCs/>
          <w:i/>
          <w:iCs/>
        </w:rPr>
        <w:t>001Р-03R</w:t>
      </w:r>
      <w:r w:rsidRPr="00A95484">
        <w:rPr>
          <w:b/>
          <w:bCs/>
          <w:i/>
          <w:iCs/>
        </w:rPr>
        <w:t>.</w:t>
      </w:r>
    </w:p>
    <w:p w:rsidR="00BF44B0" w:rsidRPr="00A95484" w:rsidRDefault="00BF44B0" w:rsidP="005063F1">
      <w:pPr>
        <w:ind w:firstLine="539"/>
        <w:jc w:val="both"/>
        <w:rPr>
          <w:lang w:eastAsia="en-US"/>
        </w:rPr>
      </w:pPr>
      <w:r w:rsidRPr="00A95484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A95484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BF44B0" w:rsidRPr="00A95484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:rsidR="00BF44B0" w:rsidRPr="00A95484" w:rsidRDefault="00BF44B0" w:rsidP="00973E28">
      <w:pPr>
        <w:ind w:firstLine="539"/>
        <w:jc w:val="both"/>
        <w:rPr>
          <w:lang w:eastAsia="en-US"/>
        </w:rPr>
      </w:pPr>
      <w:r w:rsidRPr="00A95484">
        <w:rPr>
          <w:lang w:eastAsia="en-US"/>
        </w:rPr>
        <w:t>Срок погашения: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90201" w:rsidRPr="00A95484">
        <w:rPr>
          <w:b/>
          <w:bCs/>
          <w:i/>
          <w:iCs/>
        </w:rPr>
        <w:t>3 640 (Три тысячи шестьсот сороковой</w:t>
      </w:r>
      <w:r w:rsidR="00873CCA" w:rsidRPr="00A95484">
        <w:rPr>
          <w:b/>
          <w:bCs/>
          <w:i/>
          <w:iCs/>
        </w:rPr>
        <w:t>)</w:t>
      </w:r>
      <w:r w:rsidRPr="00A95484">
        <w:rPr>
          <w:b/>
          <w:bCs/>
          <w:i/>
          <w:iCs/>
        </w:rPr>
        <w:t xml:space="preserve"> день с даты начала размещения Биржевых облигаций.</w:t>
      </w:r>
    </w:p>
    <w:p w:rsidR="00BF44B0" w:rsidRPr="00A95484" w:rsidRDefault="00BF44B0" w:rsidP="00B55039">
      <w:pPr>
        <w:ind w:firstLine="539"/>
        <w:jc w:val="both"/>
        <w:rPr>
          <w:b/>
          <w:bCs/>
          <w:i/>
          <w:iCs/>
        </w:rPr>
      </w:pPr>
      <w:r w:rsidRPr="00A95484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BF44B0" w:rsidRPr="00A95484" w:rsidRDefault="00BF44B0" w:rsidP="00A861C7">
      <w:pPr>
        <w:adjustRightInd w:val="0"/>
        <w:ind w:firstLine="540"/>
        <w:jc w:val="both"/>
      </w:pPr>
    </w:p>
    <w:p w:rsidR="00BF44B0" w:rsidRPr="00A95484" w:rsidRDefault="00BF44B0" w:rsidP="00183C58">
      <w:pPr>
        <w:ind w:firstLine="540"/>
        <w:jc w:val="both"/>
        <w:rPr>
          <w:bCs/>
        </w:rPr>
      </w:pPr>
      <w:r w:rsidRPr="00A95484">
        <w:rPr>
          <w:b/>
          <w:bCs/>
        </w:rPr>
        <w:t>2.</w:t>
      </w:r>
      <w:r w:rsidRPr="00A95484">
        <w:rPr>
          <w:bCs/>
        </w:rPr>
        <w:t xml:space="preserve"> </w:t>
      </w:r>
      <w:r w:rsidRPr="00A95484">
        <w:rPr>
          <w:b/>
          <w:bCs/>
        </w:rPr>
        <w:t>Права владельца каждой биржевой облигации выпуска</w:t>
      </w:r>
      <w:r w:rsidRPr="00A95484">
        <w:rPr>
          <w:bCs/>
        </w:rPr>
        <w:t xml:space="preserve">: </w:t>
      </w:r>
    </w:p>
    <w:p w:rsidR="002975A5" w:rsidRPr="00A95484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BB646E" w:rsidRPr="00A95484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BB646E" w:rsidRPr="00A95484" w:rsidRDefault="00BB646E" w:rsidP="00477AC7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B646E" w:rsidRPr="00A95484" w:rsidRDefault="00BB646E" w:rsidP="00477AC7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BB646E" w:rsidRPr="008D095B" w:rsidRDefault="00BB646E" w:rsidP="00BB646E">
      <w:pPr>
        <w:pStyle w:val="Basic"/>
        <w:rPr>
          <w:b/>
          <w:bCs/>
          <w:i/>
          <w:iCs/>
        </w:rPr>
      </w:pPr>
      <w:r w:rsidRPr="00A95484">
        <w:rPr>
          <w:b/>
          <w:bCs/>
          <w:i/>
          <w:iCs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p w:rsidR="006077E3" w:rsidRPr="000B5C51" w:rsidRDefault="006077E3" w:rsidP="00477AC7">
      <w:pPr>
        <w:autoSpaceDE/>
        <w:autoSpaceDN/>
        <w:rPr>
          <w:szCs w:val="22"/>
        </w:rPr>
      </w:pPr>
    </w:p>
    <w:sectPr w:rsidR="006077E3" w:rsidRPr="000B5C51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A7" w:rsidRDefault="00EE41A7">
      <w:r>
        <w:separator/>
      </w:r>
    </w:p>
  </w:endnote>
  <w:endnote w:type="continuationSeparator" w:id="0">
    <w:p w:rsidR="00EE41A7" w:rsidRDefault="00EE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C2E" w:rsidRDefault="00020C2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020C2E" w:rsidRDefault="00020C2E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C2E" w:rsidRDefault="00020C2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6C96">
      <w:rPr>
        <w:rStyle w:val="ab"/>
        <w:noProof/>
      </w:rPr>
      <w:t>2</w:t>
    </w:r>
    <w:r>
      <w:rPr>
        <w:rStyle w:val="ab"/>
      </w:rPr>
      <w:fldChar w:fldCharType="end"/>
    </w:r>
  </w:p>
  <w:p w:rsidR="00020C2E" w:rsidRDefault="00020C2E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A7" w:rsidRDefault="00EE41A7">
      <w:r>
        <w:separator/>
      </w:r>
    </w:p>
  </w:footnote>
  <w:footnote w:type="continuationSeparator" w:id="0">
    <w:p w:rsidR="00EE41A7" w:rsidRDefault="00EE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2E"/>
    <w:rsid w:val="00020CBA"/>
    <w:rsid w:val="000233A2"/>
    <w:rsid w:val="00023794"/>
    <w:rsid w:val="00026FA4"/>
    <w:rsid w:val="00031C4B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4B01"/>
    <w:rsid w:val="00056DD4"/>
    <w:rsid w:val="00060CBF"/>
    <w:rsid w:val="00060D2A"/>
    <w:rsid w:val="0006149B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593E"/>
    <w:rsid w:val="00127CEC"/>
    <w:rsid w:val="00131A04"/>
    <w:rsid w:val="0013279D"/>
    <w:rsid w:val="00132894"/>
    <w:rsid w:val="00137324"/>
    <w:rsid w:val="00141627"/>
    <w:rsid w:val="0014303F"/>
    <w:rsid w:val="00144E70"/>
    <w:rsid w:val="00147415"/>
    <w:rsid w:val="00147E61"/>
    <w:rsid w:val="001526E1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145"/>
    <w:rsid w:val="001C64CA"/>
    <w:rsid w:val="001D3090"/>
    <w:rsid w:val="001E22A0"/>
    <w:rsid w:val="001E2AD9"/>
    <w:rsid w:val="001E4076"/>
    <w:rsid w:val="001E6613"/>
    <w:rsid w:val="001E6653"/>
    <w:rsid w:val="001E6A15"/>
    <w:rsid w:val="001F2F89"/>
    <w:rsid w:val="00200049"/>
    <w:rsid w:val="00204B52"/>
    <w:rsid w:val="00205F52"/>
    <w:rsid w:val="00205F91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26A57"/>
    <w:rsid w:val="00230AAB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0E86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24706"/>
    <w:rsid w:val="003339D1"/>
    <w:rsid w:val="003346E2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64ADA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370"/>
    <w:rsid w:val="00457F77"/>
    <w:rsid w:val="004643C5"/>
    <w:rsid w:val="00467253"/>
    <w:rsid w:val="00471361"/>
    <w:rsid w:val="0047412B"/>
    <w:rsid w:val="0047681D"/>
    <w:rsid w:val="00477AC7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B7AF2"/>
    <w:rsid w:val="004C2A4F"/>
    <w:rsid w:val="004C33B7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06666"/>
    <w:rsid w:val="00507370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660F"/>
    <w:rsid w:val="005A0941"/>
    <w:rsid w:val="005A1E9C"/>
    <w:rsid w:val="005A3422"/>
    <w:rsid w:val="005A6236"/>
    <w:rsid w:val="005A64DA"/>
    <w:rsid w:val="005B01C0"/>
    <w:rsid w:val="005B0751"/>
    <w:rsid w:val="005B181E"/>
    <w:rsid w:val="005C0475"/>
    <w:rsid w:val="005C46A7"/>
    <w:rsid w:val="005C4B45"/>
    <w:rsid w:val="005C644F"/>
    <w:rsid w:val="005D09A6"/>
    <w:rsid w:val="005D290A"/>
    <w:rsid w:val="005D4595"/>
    <w:rsid w:val="005D4CF1"/>
    <w:rsid w:val="005D589A"/>
    <w:rsid w:val="005D5F17"/>
    <w:rsid w:val="005E0DAB"/>
    <w:rsid w:val="005E18D8"/>
    <w:rsid w:val="005E3596"/>
    <w:rsid w:val="005E451B"/>
    <w:rsid w:val="005E4E3D"/>
    <w:rsid w:val="005E534B"/>
    <w:rsid w:val="005E7B33"/>
    <w:rsid w:val="005F4CA1"/>
    <w:rsid w:val="005F5960"/>
    <w:rsid w:val="00600FBD"/>
    <w:rsid w:val="00601C96"/>
    <w:rsid w:val="006072AB"/>
    <w:rsid w:val="006077E3"/>
    <w:rsid w:val="00610504"/>
    <w:rsid w:val="00611492"/>
    <w:rsid w:val="00612A4F"/>
    <w:rsid w:val="00620B9D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C62"/>
    <w:rsid w:val="00761537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2C4D"/>
    <w:rsid w:val="00855F1B"/>
    <w:rsid w:val="00856AD4"/>
    <w:rsid w:val="00860159"/>
    <w:rsid w:val="00861BA8"/>
    <w:rsid w:val="00862D4C"/>
    <w:rsid w:val="00863CA2"/>
    <w:rsid w:val="00864F22"/>
    <w:rsid w:val="0086636D"/>
    <w:rsid w:val="00871804"/>
    <w:rsid w:val="00872EE8"/>
    <w:rsid w:val="00873CCA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6056"/>
    <w:rsid w:val="009577A3"/>
    <w:rsid w:val="0096086A"/>
    <w:rsid w:val="009661BE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87FD5"/>
    <w:rsid w:val="00991996"/>
    <w:rsid w:val="009A15CA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11B"/>
    <w:rsid w:val="009C2518"/>
    <w:rsid w:val="009C412F"/>
    <w:rsid w:val="009C6E2E"/>
    <w:rsid w:val="009C71CE"/>
    <w:rsid w:val="009D2F9F"/>
    <w:rsid w:val="009D41DE"/>
    <w:rsid w:val="009E0F58"/>
    <w:rsid w:val="009E1183"/>
    <w:rsid w:val="009E2146"/>
    <w:rsid w:val="009E2834"/>
    <w:rsid w:val="009E2C53"/>
    <w:rsid w:val="009E3786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1000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484"/>
    <w:rsid w:val="00A9569A"/>
    <w:rsid w:val="00A97890"/>
    <w:rsid w:val="00A97F8E"/>
    <w:rsid w:val="00AA1F37"/>
    <w:rsid w:val="00AA2384"/>
    <w:rsid w:val="00AA449D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62A6"/>
    <w:rsid w:val="00AD7CAC"/>
    <w:rsid w:val="00AE2785"/>
    <w:rsid w:val="00AE2818"/>
    <w:rsid w:val="00AE2B8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44D"/>
    <w:rsid w:val="00B21AC4"/>
    <w:rsid w:val="00B237C3"/>
    <w:rsid w:val="00B244B5"/>
    <w:rsid w:val="00B2520C"/>
    <w:rsid w:val="00B31272"/>
    <w:rsid w:val="00B328BD"/>
    <w:rsid w:val="00B32CC6"/>
    <w:rsid w:val="00B341B6"/>
    <w:rsid w:val="00B35D6F"/>
    <w:rsid w:val="00B360D5"/>
    <w:rsid w:val="00B36C96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2F06"/>
    <w:rsid w:val="00B93358"/>
    <w:rsid w:val="00B93B7E"/>
    <w:rsid w:val="00BA3F0C"/>
    <w:rsid w:val="00BB056D"/>
    <w:rsid w:val="00BB159E"/>
    <w:rsid w:val="00BB1753"/>
    <w:rsid w:val="00BB1E8C"/>
    <w:rsid w:val="00BB646E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2F6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5DF9"/>
    <w:rsid w:val="00C95F17"/>
    <w:rsid w:val="00CA308F"/>
    <w:rsid w:val="00CA4575"/>
    <w:rsid w:val="00CB10B6"/>
    <w:rsid w:val="00CB3C76"/>
    <w:rsid w:val="00CD1592"/>
    <w:rsid w:val="00CD235A"/>
    <w:rsid w:val="00CD57F6"/>
    <w:rsid w:val="00CE5EBA"/>
    <w:rsid w:val="00CF0B99"/>
    <w:rsid w:val="00CF1050"/>
    <w:rsid w:val="00CF18F7"/>
    <w:rsid w:val="00CF2753"/>
    <w:rsid w:val="00CF2849"/>
    <w:rsid w:val="00D003E5"/>
    <w:rsid w:val="00D01661"/>
    <w:rsid w:val="00D041F5"/>
    <w:rsid w:val="00D04727"/>
    <w:rsid w:val="00D05E83"/>
    <w:rsid w:val="00D0741F"/>
    <w:rsid w:val="00D12E0F"/>
    <w:rsid w:val="00D135B7"/>
    <w:rsid w:val="00D152F0"/>
    <w:rsid w:val="00D17DC2"/>
    <w:rsid w:val="00D22BCB"/>
    <w:rsid w:val="00D23791"/>
    <w:rsid w:val="00D25F34"/>
    <w:rsid w:val="00D27382"/>
    <w:rsid w:val="00D27E98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40C1E"/>
    <w:rsid w:val="00E47788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0201"/>
    <w:rsid w:val="00E91CA1"/>
    <w:rsid w:val="00E9456E"/>
    <w:rsid w:val="00EA074D"/>
    <w:rsid w:val="00EA0B4E"/>
    <w:rsid w:val="00EA218B"/>
    <w:rsid w:val="00EA448B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1A7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333A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86F82"/>
    <w:rsid w:val="00F934B5"/>
    <w:rsid w:val="00FA115E"/>
    <w:rsid w:val="00FA4DFF"/>
    <w:rsid w:val="00FA56D1"/>
    <w:rsid w:val="00FB22B1"/>
    <w:rsid w:val="00FB7FE9"/>
    <w:rsid w:val="00FC0A96"/>
    <w:rsid w:val="00FC1CAF"/>
    <w:rsid w:val="00FC3C66"/>
    <w:rsid w:val="00FC585B"/>
    <w:rsid w:val="00FC5AC3"/>
    <w:rsid w:val="00FD3B15"/>
    <w:rsid w:val="00FD5743"/>
    <w:rsid w:val="00FD6518"/>
    <w:rsid w:val="00FD6ED1"/>
    <w:rsid w:val="00FD7AE3"/>
    <w:rsid w:val="00FE2F07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BAA6F7-E0AC-4858-A838-216ED116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  <w:style w:type="character" w:customStyle="1" w:styleId="Subst0">
    <w:name w:val="Subst"/>
    <w:uiPriority w:val="99"/>
    <w:rsid w:val="00852C4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3683</Words>
  <Characters>20994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3</cp:revision>
  <cp:lastPrinted>2019-03-27T09:05:00Z</cp:lastPrinted>
  <dcterms:created xsi:type="dcterms:W3CDTF">2019-09-24T12:15:00Z</dcterms:created>
  <dcterms:modified xsi:type="dcterms:W3CDTF">2019-09-24T12:15:00Z</dcterms:modified>
</cp:coreProperties>
</file>