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000" w:type="pct"/>
        <w:tblCellMar>
          <w:top w:w="15" w:type="dxa"/>
          <w:left w:w="15" w:type="dxa"/>
          <w:bottom w:w="15" w:type="dxa"/>
          <w:right w:w="15" w:type="dxa"/>
        </w:tblCellMar>
        <w:tblLook w:val="04A0" w:firstRow="1" w:lastRow="0" w:firstColumn="1" w:lastColumn="0" w:noHBand="0" w:noVBand="1"/>
      </w:tblPr>
      <w:tblGrid>
        <w:gridCol w:w="4592"/>
        <w:gridCol w:w="5613"/>
      </w:tblGrid>
      <w:tr w:rsidR="00617D43" w:rsidTr="00617D43">
        <w:tc>
          <w:tcPr>
            <w:tcW w:w="2250" w:type="pct"/>
            <w:shd w:val="clear" w:color="auto" w:fill="auto"/>
            <w:tcMar>
              <w:top w:w="0" w:type="dxa"/>
              <w:left w:w="0" w:type="dxa"/>
              <w:bottom w:w="0" w:type="dxa"/>
              <w:right w:w="0" w:type="dxa"/>
            </w:tcMar>
            <w:vAlign w:val="center"/>
            <w:hideMark/>
          </w:tcPr>
          <w:p w:rsidR="00617D43" w:rsidRPr="00617D43" w:rsidRDefault="00617D43" w:rsidP="00617D43">
            <w:bookmarkStart w:id="0" w:name="_GoBack"/>
            <w:bookmarkEnd w:id="0"/>
          </w:p>
        </w:tc>
        <w:tc>
          <w:tcPr>
            <w:tcW w:w="0" w:type="auto"/>
            <w:shd w:val="clear" w:color="auto" w:fill="auto"/>
            <w:tcMar>
              <w:top w:w="0" w:type="dxa"/>
              <w:left w:w="0" w:type="dxa"/>
              <w:bottom w:w="0" w:type="dxa"/>
              <w:right w:w="0" w:type="dxa"/>
            </w:tcMar>
            <w:vAlign w:val="center"/>
            <w:hideMark/>
          </w:tcPr>
          <w:tbl>
            <w:tblPr>
              <w:tblW w:w="5000" w:type="pct"/>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18"/>
              <w:gridCol w:w="3589"/>
            </w:tblGrid>
            <w:tr w:rsidR="00617D43" w:rsidRPr="00617D43">
              <w:tc>
                <w:tcPr>
                  <w:tcW w:w="1680" w:type="dxa"/>
                  <w:shd w:val="clear" w:color="auto" w:fill="auto"/>
                  <w:tcMar>
                    <w:top w:w="0" w:type="dxa"/>
                    <w:left w:w="0" w:type="dxa"/>
                    <w:bottom w:w="0" w:type="dxa"/>
                    <w:right w:w="0" w:type="dxa"/>
                  </w:tcMar>
                  <w:vAlign w:val="bottom"/>
                  <w:hideMark/>
                </w:tcPr>
                <w:p w:rsidR="00617D43" w:rsidRPr="00617D43" w:rsidRDefault="00617D43" w:rsidP="00617D43">
                  <w:r w:rsidRPr="00617D43">
                    <w:t xml:space="preserve">Дата присвоения идентификационного номера </w:t>
                  </w:r>
                </w:p>
              </w:tc>
              <w:tc>
                <w:tcPr>
                  <w:tcW w:w="0" w:type="auto"/>
                  <w:shd w:val="clear" w:color="auto" w:fill="auto"/>
                  <w:tcMar>
                    <w:top w:w="0" w:type="dxa"/>
                    <w:left w:w="0" w:type="dxa"/>
                    <w:bottom w:w="0" w:type="dxa"/>
                    <w:right w:w="0" w:type="dxa"/>
                  </w:tcMar>
                  <w:vAlign w:val="center"/>
                  <w:hideMark/>
                </w:tcPr>
                <w:p w:rsidR="00617D43" w:rsidRPr="00617D43" w:rsidRDefault="003911E9" w:rsidP="00617D43">
                  <w:r>
                    <w:t>"30" августа 2017</w:t>
                  </w:r>
                  <w:r w:rsidR="00617D43" w:rsidRPr="00617D43">
                    <w:t>г.</w:t>
                  </w:r>
                </w:p>
              </w:tc>
            </w:tr>
          </w:tbl>
          <w:p w:rsidR="00617D43" w:rsidRDefault="00617D43" w:rsidP="00617D43"/>
          <w:p w:rsidR="00617D43" w:rsidRDefault="00617D43" w:rsidP="00617D43">
            <w:r>
              <w:t>Идентификационный номер</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0"/>
              <w:gridCol w:w="311"/>
              <w:gridCol w:w="311"/>
              <w:gridCol w:w="311"/>
              <w:gridCol w:w="311"/>
              <w:gridCol w:w="311"/>
              <w:gridCol w:w="311"/>
              <w:gridCol w:w="311"/>
              <w:gridCol w:w="311"/>
              <w:gridCol w:w="311"/>
              <w:gridCol w:w="311"/>
              <w:gridCol w:w="311"/>
              <w:gridCol w:w="311"/>
              <w:gridCol w:w="311"/>
              <w:gridCol w:w="311"/>
              <w:gridCol w:w="311"/>
              <w:gridCol w:w="311"/>
              <w:gridCol w:w="311"/>
            </w:tblGrid>
            <w:tr w:rsidR="003911E9" w:rsidTr="003911E9">
              <w:trPr>
                <w:trHeight w:val="300"/>
              </w:trPr>
              <w:tc>
                <w:tcPr>
                  <w:tcW w:w="310"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4</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3</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1</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2</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9</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6</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Pr>
                      <w:lang w:val="en-US"/>
                    </w:rPr>
                    <w:t>E</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0</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0</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1</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Pr>
                      <w:lang w:val="en-US"/>
                    </w:rPr>
                    <w:t>P</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0</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sidRPr="003911E9">
                    <w:t>2</w:t>
                  </w:r>
                </w:p>
              </w:tc>
              <w:tc>
                <w:tcPr>
                  <w:tcW w:w="311" w:type="dxa"/>
                  <w:shd w:val="clear" w:color="auto" w:fill="auto"/>
                  <w:tcMar>
                    <w:top w:w="0" w:type="dxa"/>
                    <w:left w:w="0" w:type="dxa"/>
                    <w:bottom w:w="0" w:type="dxa"/>
                    <w:right w:w="0" w:type="dxa"/>
                  </w:tcMar>
                  <w:vAlign w:val="center"/>
                  <w:hideMark/>
                </w:tcPr>
                <w:p w:rsidR="003911E9" w:rsidRPr="003911E9" w:rsidRDefault="003911E9" w:rsidP="003911E9">
                  <w:pPr>
                    <w:jc w:val="center"/>
                  </w:pPr>
                  <w:r>
                    <w:rPr>
                      <w:lang w:val="en-US"/>
                    </w:rPr>
                    <w:t>E</w:t>
                  </w:r>
                </w:p>
              </w:tc>
            </w:tr>
          </w:tbl>
          <w:p w:rsidR="00617D43" w:rsidRDefault="00617D43" w:rsidP="00617D43">
            <w:pPr>
              <w:rPr>
                <w:rFonts w:eastAsia="Times New Roman"/>
              </w:rPr>
            </w:pPr>
          </w:p>
          <w:p w:rsidR="00617D43" w:rsidRPr="00617D43" w:rsidRDefault="00617D43" w:rsidP="00617D43">
            <w:pPr>
              <w:jc w:val="center"/>
              <w:rPr>
                <w:b/>
                <w:bCs/>
                <w:i/>
                <w:iCs/>
              </w:rPr>
            </w:pPr>
            <w:r w:rsidRPr="00617D43">
              <w:rPr>
                <w:b/>
                <w:bCs/>
                <w:i/>
                <w:iCs/>
              </w:rPr>
              <w:t xml:space="preserve">ПАО Московская Биржа </w:t>
            </w:r>
          </w:p>
          <w:p w:rsidR="00617D43" w:rsidRDefault="00617D43" w:rsidP="00617D43">
            <w:pPr>
              <w:jc w:val="center"/>
              <w:divId w:val="1115252642"/>
              <w:rPr>
                <w:sz w:val="18"/>
                <w:szCs w:val="18"/>
              </w:rPr>
            </w:pPr>
            <w:r w:rsidRPr="00617D43">
              <w:rPr>
                <w:sz w:val="18"/>
                <w:szCs w:val="18"/>
              </w:rPr>
              <w:t>(наименование биржи, присвоившей идентификационный номер)</w:t>
            </w:r>
          </w:p>
          <w:p w:rsidR="00617D43" w:rsidRPr="00617D43" w:rsidRDefault="00617D43" w:rsidP="00617D43">
            <w:pPr>
              <w:divId w:val="1115252642"/>
            </w:pPr>
          </w:p>
          <w:p w:rsidR="00617D43" w:rsidRPr="00617D43" w:rsidRDefault="00617D43" w:rsidP="00617D43">
            <w:pPr>
              <w:jc w:val="center"/>
              <w:divId w:val="62262775"/>
              <w:rPr>
                <w:sz w:val="18"/>
              </w:rPr>
            </w:pPr>
            <w:r w:rsidRPr="00617D43">
              <w:rPr>
                <w:sz w:val="18"/>
              </w:rPr>
              <w:t>(подпись уполномоченного лица биржи, присвоившей идентификационный номер)</w:t>
            </w:r>
          </w:p>
          <w:p w:rsidR="00617D43" w:rsidRPr="00617D43" w:rsidRDefault="00617D43" w:rsidP="00617D43">
            <w:pPr>
              <w:jc w:val="center"/>
              <w:divId w:val="62262775"/>
              <w:rPr>
                <w:sz w:val="18"/>
              </w:rPr>
            </w:pPr>
            <w:r w:rsidRPr="00617D43">
              <w:rPr>
                <w:sz w:val="18"/>
              </w:rPr>
              <w:t>(печать)</w:t>
            </w:r>
          </w:p>
        </w:tc>
      </w:tr>
    </w:tbl>
    <w:p w:rsidR="00617D43" w:rsidRDefault="00617D43" w:rsidP="00617D43">
      <w:pPr>
        <w:jc w:val="center"/>
        <w:divId w:val="1485506689"/>
        <w:rPr>
          <w:rFonts w:eastAsia="Times New Roman"/>
        </w:rPr>
      </w:pPr>
      <w:r>
        <w:rPr>
          <w:rFonts w:eastAsia="Times New Roman"/>
          <w:b/>
          <w:bCs/>
          <w:sz w:val="30"/>
          <w:szCs w:val="30"/>
        </w:rPr>
        <w:t>ПРОГРАММА БИРЖЕВЫХ ОБЛИГАЦИЙ</w:t>
      </w:r>
    </w:p>
    <w:p w:rsidR="00617D43" w:rsidRPr="00617D43" w:rsidRDefault="00617D43" w:rsidP="00617D43"/>
    <w:p w:rsidR="00617D43" w:rsidRDefault="00617D43">
      <w:pPr>
        <w:jc w:val="center"/>
        <w:divId w:val="1103113787"/>
        <w:rPr>
          <w:rFonts w:eastAsia="Times New Roman"/>
        </w:rPr>
      </w:pPr>
      <w:r w:rsidRPr="00617D43">
        <w:rPr>
          <w:rFonts w:eastAsia="Times New Roman"/>
          <w:b/>
          <w:bCs/>
          <w:i/>
          <w:iCs/>
          <w:sz w:val="32"/>
          <w:szCs w:val="32"/>
        </w:rPr>
        <w:t xml:space="preserve">Открытое акционерное общество </w:t>
      </w:r>
      <w:r>
        <w:rPr>
          <w:rFonts w:eastAsia="Times New Roman"/>
          <w:b/>
          <w:bCs/>
          <w:i/>
          <w:iCs/>
          <w:sz w:val="32"/>
          <w:szCs w:val="32"/>
        </w:rPr>
        <w:br/>
      </w:r>
      <w:r w:rsidRPr="00617D43">
        <w:rPr>
          <w:rFonts w:eastAsia="Times New Roman"/>
          <w:b/>
          <w:bCs/>
          <w:i/>
          <w:iCs/>
          <w:sz w:val="32"/>
          <w:szCs w:val="32"/>
        </w:rPr>
        <w:t>«Верхнебаканский цементный завод»</w:t>
      </w:r>
    </w:p>
    <w:p w:rsidR="00617D43" w:rsidRPr="00617D43" w:rsidRDefault="00617D43" w:rsidP="00617D43">
      <w:pPr>
        <w:jc w:val="center"/>
        <w:divId w:val="1309942472"/>
        <w:rPr>
          <w:sz w:val="18"/>
        </w:rPr>
      </w:pPr>
      <w:r w:rsidRPr="00617D43">
        <w:rPr>
          <w:sz w:val="18"/>
        </w:rPr>
        <w:t xml:space="preserve">(указывается полное наименование эмитента) </w:t>
      </w:r>
    </w:p>
    <w:p w:rsidR="00617D43" w:rsidRDefault="00617D43">
      <w:pPr>
        <w:divId w:val="1309942472"/>
        <w:rPr>
          <w:rFonts w:eastAsia="Times New Roman"/>
        </w:rPr>
      </w:pPr>
    </w:p>
    <w:p w:rsidR="00617D43" w:rsidRPr="00617D43" w:rsidRDefault="00617D43" w:rsidP="00617D43">
      <w:pPr>
        <w:jc w:val="center"/>
        <w:divId w:val="1309942472"/>
      </w:pPr>
      <w:r w:rsidRPr="00617D43">
        <w:t xml:space="preserve">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 </w:t>
      </w:r>
    </w:p>
    <w:p w:rsidR="00617D43" w:rsidRDefault="00617D43">
      <w:pPr>
        <w:jc w:val="center"/>
        <w:divId w:val="1059791175"/>
        <w:rPr>
          <w:rFonts w:eastAsia="Times New Roman"/>
        </w:rPr>
      </w:pPr>
      <w:r>
        <w:rPr>
          <w:rFonts w:eastAsia="Times New Roman"/>
          <w:b/>
          <w:bCs/>
          <w:i/>
          <w:iCs/>
        </w:rPr>
        <w:t>Программа биржевых облигаций серии 001P, в рамках которой могут быть размещены биржевые облигации документарные процентные неконвертируемые на предъявителя с обязательным централизованным хранением, размещаемые путем открытой подписки;</w:t>
      </w:r>
    </w:p>
    <w:p w:rsidR="00617D43" w:rsidRDefault="00617D43">
      <w:pPr>
        <w:jc w:val="center"/>
        <w:divId w:val="928999087"/>
        <w:rPr>
          <w:rFonts w:eastAsia="Times New Roman"/>
        </w:rPr>
      </w:pPr>
      <w:r>
        <w:rPr>
          <w:rFonts w:eastAsia="Times New Roman"/>
          <w:b/>
          <w:bCs/>
          <w:i/>
          <w:iCs/>
        </w:rPr>
        <w:t>Максимальная сумма номинальных стоимостей биржевых облигаций, размещаемых в рамках программы биржевых облигаций, составляет 10 000 000 000 (Десять миллиардов) российских рублей включительно или эквивалент этой суммы в иностранной валюте;</w:t>
      </w:r>
    </w:p>
    <w:p w:rsidR="00617D43" w:rsidRDefault="00617D43">
      <w:pPr>
        <w:jc w:val="center"/>
        <w:divId w:val="1797603106"/>
        <w:rPr>
          <w:rFonts w:eastAsia="Times New Roman"/>
        </w:rPr>
      </w:pPr>
      <w:r>
        <w:rPr>
          <w:rFonts w:eastAsia="Times New Roman"/>
          <w:b/>
          <w:bCs/>
          <w:i/>
          <w:iCs/>
        </w:rPr>
        <w:t xml:space="preserve">Максимальный срок погашения биржевых облигаций, которые могут быть размещены в рамках программы биржевых облигаций, составляет 3 640 (Три тысячи шестьсот сорок) дней с даты начала размещения выпуска биржевых облигаций в рамках программы биржевых облигаций; </w:t>
      </w:r>
    </w:p>
    <w:p w:rsidR="00617D43" w:rsidRDefault="00617D43">
      <w:pPr>
        <w:jc w:val="center"/>
        <w:divId w:val="133790298"/>
        <w:rPr>
          <w:rFonts w:eastAsia="Times New Roman"/>
        </w:rPr>
      </w:pPr>
      <w:r>
        <w:rPr>
          <w:rFonts w:eastAsia="Times New Roman"/>
        </w:rPr>
        <w:t xml:space="preserve">Срок действия программы биржевых облигаций: </w:t>
      </w:r>
      <w:r>
        <w:rPr>
          <w:rFonts w:eastAsia="Times New Roman"/>
          <w:b/>
          <w:bCs/>
          <w:i/>
          <w:iCs/>
        </w:rPr>
        <w:br/>
        <w:t>10 лет</w:t>
      </w:r>
      <w:r w:rsidR="002C45BD">
        <w:rPr>
          <w:rFonts w:eastAsia="Times New Roman"/>
          <w:b/>
          <w:bCs/>
          <w:i/>
          <w:iCs/>
        </w:rPr>
        <w:t xml:space="preserve"> </w:t>
      </w:r>
      <w:r>
        <w:rPr>
          <w:rFonts w:eastAsia="Times New Roman"/>
          <w:b/>
          <w:bCs/>
          <w:i/>
          <w:iCs/>
        </w:rPr>
        <w:t>с даты присвоения идентификационного номера Программе биржевых облигаций серии 001P</w:t>
      </w:r>
    </w:p>
    <w:p w:rsidR="00617D43" w:rsidRDefault="00617D43">
      <w:pPr>
        <w:divId w:val="1309942472"/>
        <w:rPr>
          <w:rFonts w:eastAsia="Times New Roman"/>
        </w:rPr>
      </w:pPr>
    </w:p>
    <w:p w:rsidR="00617D43" w:rsidRDefault="00617D43" w:rsidP="00617D43">
      <w:pPr>
        <w:jc w:val="center"/>
        <w:divId w:val="1784767205"/>
        <w:rPr>
          <w:rFonts w:eastAsia="Times New Roman"/>
        </w:rPr>
      </w:pPr>
      <w:r>
        <w:rPr>
          <w:rFonts w:eastAsia="Times New Roman"/>
        </w:rPr>
        <w:t>Утверждена решением</w:t>
      </w:r>
      <w:r w:rsidR="002C45BD">
        <w:rPr>
          <w:rFonts w:eastAsia="Times New Roman"/>
        </w:rPr>
        <w:t xml:space="preserve"> </w:t>
      </w:r>
      <w:r>
        <w:rPr>
          <w:rFonts w:eastAsia="Times New Roman"/>
          <w:b/>
          <w:bCs/>
          <w:i/>
          <w:iCs/>
        </w:rPr>
        <w:t>Совета директоров</w:t>
      </w:r>
      <w:r>
        <w:rPr>
          <w:rFonts w:eastAsia="Times New Roman"/>
        </w:rPr>
        <w:t> </w:t>
      </w:r>
      <w:r w:rsidRPr="00617D43">
        <w:rPr>
          <w:rFonts w:eastAsia="Times New Roman"/>
          <w:b/>
          <w:bCs/>
          <w:i/>
          <w:iCs/>
        </w:rPr>
        <w:t>ОАО «Верхнебаканский цементный завод»</w:t>
      </w:r>
      <w:r>
        <w:rPr>
          <w:rFonts w:eastAsia="Times New Roman"/>
          <w:b/>
          <w:bCs/>
          <w:i/>
          <w:iCs/>
        </w:rPr>
        <w:t xml:space="preserve"> об утверждении Программы биржевых облигаций серии 001P</w:t>
      </w:r>
    </w:p>
    <w:p w:rsidR="00617D43" w:rsidRPr="002C45BD" w:rsidRDefault="00617D43" w:rsidP="002C45BD">
      <w:pPr>
        <w:jc w:val="center"/>
        <w:divId w:val="1977225192"/>
        <w:rPr>
          <w:rFonts w:eastAsia="Times New Roman"/>
          <w:sz w:val="18"/>
        </w:rPr>
      </w:pPr>
      <w:r w:rsidRPr="002C45BD">
        <w:rPr>
          <w:rFonts w:eastAsia="Times New Roman"/>
          <w:sz w:val="18"/>
          <w:szCs w:val="20"/>
        </w:rPr>
        <w:t>(указывается орган управления эмитента, утвердивший программу биржевых облигаций)</w:t>
      </w:r>
      <w:r w:rsidRPr="002C45BD">
        <w:rPr>
          <w:rFonts w:eastAsia="Times New Roman"/>
          <w:sz w:val="18"/>
        </w:rPr>
        <w:t xml:space="preserve"> </w:t>
      </w:r>
    </w:p>
    <w:p w:rsidR="00617D43" w:rsidRDefault="00617D43">
      <w:pPr>
        <w:divId w:val="1977225192"/>
        <w:rPr>
          <w:rFonts w:eastAsia="Times New Roman"/>
          <w:b/>
          <w:bCs/>
          <w:i/>
          <w:iCs/>
        </w:rPr>
      </w:pPr>
    </w:p>
    <w:p w:rsidR="00617D43" w:rsidRDefault="00617D43" w:rsidP="005165EF">
      <w:pPr>
        <w:jc w:val="center"/>
        <w:divId w:val="1977225192"/>
        <w:rPr>
          <w:rFonts w:eastAsia="Times New Roman"/>
          <w:b/>
          <w:bCs/>
          <w:i/>
          <w:iCs/>
        </w:rPr>
      </w:pPr>
      <w:r w:rsidRPr="005165EF">
        <w:rPr>
          <w:rFonts w:eastAsia="Times New Roman"/>
          <w:b/>
          <w:bCs/>
          <w:i/>
          <w:iCs/>
        </w:rPr>
        <w:t>принятым</w:t>
      </w:r>
      <w:r w:rsidR="002C45BD" w:rsidRPr="005165EF">
        <w:rPr>
          <w:rFonts w:eastAsia="Times New Roman"/>
          <w:b/>
          <w:bCs/>
          <w:i/>
          <w:iCs/>
        </w:rPr>
        <w:t xml:space="preserve"> </w:t>
      </w:r>
      <w:r w:rsidR="005165EF" w:rsidRPr="005165EF">
        <w:rPr>
          <w:rFonts w:eastAsia="Times New Roman"/>
          <w:b/>
          <w:bCs/>
          <w:i/>
          <w:iCs/>
        </w:rPr>
        <w:t>27</w:t>
      </w:r>
      <w:r w:rsidRPr="005165EF">
        <w:rPr>
          <w:rFonts w:eastAsia="Times New Roman"/>
          <w:b/>
          <w:bCs/>
          <w:i/>
          <w:iCs/>
        </w:rPr>
        <w:t xml:space="preserve"> </w:t>
      </w:r>
      <w:r w:rsidR="005165EF" w:rsidRPr="005165EF">
        <w:rPr>
          <w:rFonts w:eastAsia="Times New Roman"/>
          <w:b/>
          <w:bCs/>
          <w:i/>
          <w:iCs/>
        </w:rPr>
        <w:t>июля</w:t>
      </w:r>
      <w:r w:rsidRPr="005165EF">
        <w:rPr>
          <w:rFonts w:eastAsia="Times New Roman"/>
          <w:b/>
          <w:bCs/>
          <w:i/>
          <w:iCs/>
        </w:rPr>
        <w:t xml:space="preserve"> 2017</w:t>
      </w:r>
      <w:r w:rsidR="002C45BD" w:rsidRPr="005165EF">
        <w:rPr>
          <w:rFonts w:eastAsia="Times New Roman"/>
          <w:b/>
          <w:bCs/>
          <w:i/>
          <w:iCs/>
        </w:rPr>
        <w:t xml:space="preserve"> </w:t>
      </w:r>
      <w:r w:rsidRPr="005165EF">
        <w:rPr>
          <w:rFonts w:eastAsia="Times New Roman"/>
          <w:b/>
          <w:bCs/>
          <w:i/>
          <w:iCs/>
        </w:rPr>
        <w:t>г., протокол о</w:t>
      </w:r>
      <w:r w:rsidR="00E76D83" w:rsidRPr="005165EF">
        <w:rPr>
          <w:rFonts w:eastAsia="Times New Roman"/>
          <w:b/>
          <w:bCs/>
          <w:i/>
          <w:iCs/>
        </w:rPr>
        <w:t>т </w:t>
      </w:r>
      <w:r w:rsidR="005165EF" w:rsidRPr="005165EF">
        <w:rPr>
          <w:rFonts w:eastAsia="Times New Roman"/>
          <w:b/>
          <w:bCs/>
          <w:i/>
          <w:iCs/>
        </w:rPr>
        <w:t>27 июля 2017 г.</w:t>
      </w:r>
      <w:r w:rsidR="00E76D83" w:rsidRPr="005165EF">
        <w:rPr>
          <w:rFonts w:eastAsia="Times New Roman"/>
          <w:b/>
          <w:bCs/>
          <w:i/>
          <w:iCs/>
        </w:rPr>
        <w:t>, № 9</w:t>
      </w:r>
    </w:p>
    <w:p w:rsidR="00617D43" w:rsidRPr="00617D43" w:rsidRDefault="00617D43" w:rsidP="00617D43">
      <w:pPr>
        <w:divId w:val="1977225192"/>
      </w:pPr>
    </w:p>
    <w:p w:rsidR="00617D43" w:rsidRDefault="00617D43">
      <w:pPr>
        <w:divId w:val="2107530969"/>
        <w:rPr>
          <w:rFonts w:eastAsia="Times New Roman"/>
        </w:rPr>
      </w:pPr>
      <w:r>
        <w:rPr>
          <w:rFonts w:eastAsia="Times New Roman"/>
        </w:rPr>
        <w:t>Место нахождения эмитента и контактные телефоны:</w:t>
      </w:r>
    </w:p>
    <w:p w:rsidR="00617D43" w:rsidRPr="003C7F17" w:rsidRDefault="00617D43" w:rsidP="003C7F17">
      <w:pPr>
        <w:divId w:val="1977225192"/>
        <w:rPr>
          <w:rFonts w:eastAsia="Times New Roman"/>
          <w:b/>
          <w:bCs/>
          <w:i/>
          <w:iCs/>
        </w:rPr>
      </w:pPr>
      <w:r w:rsidRPr="002C45BD">
        <w:t xml:space="preserve">Место нахождения: </w:t>
      </w:r>
      <w:r w:rsidR="002C45BD" w:rsidRPr="003C7F17">
        <w:rPr>
          <w:rFonts w:eastAsia="Times New Roman"/>
          <w:b/>
          <w:bCs/>
          <w:i/>
          <w:iCs/>
        </w:rPr>
        <w:t>Российская Федерация, 353971, Краснодарский край, г. Новороссийск, п. Верхнебаканский, ул. Орловская, д.11.</w:t>
      </w:r>
    </w:p>
    <w:p w:rsidR="00617D43" w:rsidRDefault="00617D43" w:rsidP="00744134">
      <w:pPr>
        <w:divId w:val="1977225192"/>
        <w:rPr>
          <w:rFonts w:eastAsia="Times New Roman"/>
        </w:rPr>
      </w:pPr>
      <w:r w:rsidRPr="002C45BD">
        <w:t>Контактные телефоны:</w:t>
      </w:r>
      <w:r>
        <w:rPr>
          <w:rFonts w:eastAsia="Times New Roman"/>
          <w:b/>
          <w:bCs/>
          <w:i/>
          <w:iCs/>
        </w:rPr>
        <w:t xml:space="preserve"> </w:t>
      </w:r>
      <w:r w:rsidR="00744134">
        <w:rPr>
          <w:rStyle w:val="Subst"/>
          <w:bCs/>
          <w:iCs/>
        </w:rPr>
        <w:t>+7(8617)276-425</w:t>
      </w:r>
    </w:p>
    <w:p w:rsidR="00617D43" w:rsidRDefault="00617D43">
      <w:pPr>
        <w:rPr>
          <w:rFonts w:eastAsia="Times New Roman"/>
        </w:rPr>
      </w:pPr>
      <w:r>
        <w:rPr>
          <w:rFonts w:eastAsia="Times New Roman"/>
        </w:rPr>
        <w:br w:type="page"/>
      </w:r>
    </w:p>
    <w:p w:rsidR="00617D43" w:rsidRDefault="00617D43">
      <w:pPr>
        <w:rPr>
          <w:rFonts w:eastAsia="Times New Roman"/>
        </w:rPr>
      </w:pPr>
    </w:p>
    <w:p w:rsidR="00617D43" w:rsidRPr="002C45BD" w:rsidRDefault="00617D43" w:rsidP="002C45BD">
      <w:pPr>
        <w:divId w:val="1977225192"/>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25"/>
        <w:gridCol w:w="2010"/>
        <w:gridCol w:w="1772"/>
        <w:gridCol w:w="14"/>
      </w:tblGrid>
      <w:tr w:rsidR="00617D43" w:rsidRPr="00617D43" w:rsidTr="00617D43">
        <w:trPr>
          <w:gridAfter w:val="1"/>
          <w:divId w:val="1977225192"/>
          <w:wAfter w:w="7" w:type="pct"/>
        </w:trPr>
        <w:tc>
          <w:tcPr>
            <w:tcW w:w="3182" w:type="pct"/>
            <w:shd w:val="clear" w:color="auto" w:fill="auto"/>
            <w:tcMar>
              <w:top w:w="0" w:type="dxa"/>
              <w:left w:w="0" w:type="dxa"/>
              <w:bottom w:w="0" w:type="dxa"/>
              <w:right w:w="0" w:type="dxa"/>
            </w:tcMar>
            <w:vAlign w:val="center"/>
            <w:hideMark/>
          </w:tcPr>
          <w:p w:rsidR="00617D43" w:rsidRPr="00617D43" w:rsidRDefault="00617D43" w:rsidP="00617D43">
            <w:pPr>
              <w:rPr>
                <w:b/>
                <w:i/>
              </w:rPr>
            </w:pPr>
            <w:r w:rsidRPr="00617D43">
              <w:rPr>
                <w:b/>
                <w:i/>
              </w:rPr>
              <w:t xml:space="preserve">Генеральный директор ООО "ГАЗМЕТАЛЛПРОЕКТ" - управляющей организации </w:t>
            </w:r>
            <w:r>
              <w:rPr>
                <w:b/>
                <w:i/>
              </w:rPr>
              <w:br/>
            </w:r>
            <w:r w:rsidRPr="00617D43">
              <w:rPr>
                <w:b/>
                <w:i/>
              </w:rPr>
              <w:t>ОАО "Верхнебаканский цементный завод"</w:t>
            </w:r>
            <w:r w:rsidRPr="00617D43">
              <w:rPr>
                <w:b/>
                <w:i/>
              </w:rPr>
              <w:br/>
              <w:t>Сведения о договоре, по которому переданы полномочия единоличного исполнительного органа эмитента: Договор № б/н, от 01.03.2017, по 01.03.2022</w:t>
            </w:r>
          </w:p>
        </w:tc>
        <w:tc>
          <w:tcPr>
            <w:tcW w:w="905" w:type="pct"/>
          </w:tcPr>
          <w:p w:rsidR="00617D43" w:rsidRDefault="00617D43" w:rsidP="00617D43">
            <w:pPr>
              <w:rPr>
                <w:b/>
                <w:i/>
              </w:rPr>
            </w:pPr>
          </w:p>
          <w:p w:rsidR="00617D43" w:rsidRDefault="00617D43" w:rsidP="00617D43">
            <w:pPr>
              <w:rPr>
                <w:b/>
                <w:i/>
              </w:rPr>
            </w:pPr>
          </w:p>
          <w:p w:rsidR="00617D43" w:rsidRDefault="00617D43" w:rsidP="00617D43">
            <w:pPr>
              <w:rPr>
                <w:b/>
                <w:i/>
              </w:rPr>
            </w:pPr>
          </w:p>
          <w:p w:rsidR="00617D43" w:rsidRDefault="00617D43" w:rsidP="00617D43">
            <w:pPr>
              <w:rPr>
                <w:b/>
                <w:i/>
              </w:rPr>
            </w:pPr>
          </w:p>
          <w:p w:rsidR="00617D43" w:rsidRPr="00617D43" w:rsidRDefault="00617D43" w:rsidP="00617D43">
            <w:pPr>
              <w:rPr>
                <w:b/>
                <w:i/>
              </w:rPr>
            </w:pPr>
            <w:r>
              <w:rPr>
                <w:b/>
                <w:i/>
              </w:rPr>
              <w:t>__________________</w:t>
            </w:r>
            <w:r>
              <w:rPr>
                <w:b/>
                <w:i/>
              </w:rPr>
              <w:br/>
            </w:r>
            <w:r w:rsidRPr="00617D43">
              <w:t>М.П.</w:t>
            </w:r>
          </w:p>
        </w:tc>
        <w:tc>
          <w:tcPr>
            <w:tcW w:w="906" w:type="pct"/>
            <w:shd w:val="clear" w:color="auto" w:fill="auto"/>
            <w:tcMar>
              <w:top w:w="0" w:type="dxa"/>
              <w:left w:w="0" w:type="dxa"/>
              <w:bottom w:w="0" w:type="dxa"/>
              <w:right w:w="0" w:type="dxa"/>
            </w:tcMar>
            <w:vAlign w:val="bottom"/>
            <w:hideMark/>
          </w:tcPr>
          <w:p w:rsidR="00617D43" w:rsidRPr="00617D43" w:rsidRDefault="00617D43" w:rsidP="00617D43">
            <w:pPr>
              <w:jc w:val="right"/>
              <w:rPr>
                <w:b/>
                <w:i/>
              </w:rPr>
            </w:pPr>
            <w:r w:rsidRPr="00617D43">
              <w:rPr>
                <w:b/>
                <w:i/>
              </w:rPr>
              <w:t>О.И. Иващенко</w:t>
            </w:r>
          </w:p>
        </w:tc>
      </w:tr>
      <w:tr w:rsidR="00617D43" w:rsidRPr="00617D43" w:rsidTr="00617D43">
        <w:trPr>
          <w:divId w:val="1977225192"/>
        </w:trPr>
        <w:tc>
          <w:tcPr>
            <w:tcW w:w="3182" w:type="pct"/>
            <w:shd w:val="clear" w:color="auto" w:fill="auto"/>
            <w:tcMar>
              <w:top w:w="0" w:type="dxa"/>
              <w:left w:w="0" w:type="dxa"/>
              <w:bottom w:w="0" w:type="dxa"/>
              <w:right w:w="0" w:type="dxa"/>
            </w:tcMar>
            <w:vAlign w:val="center"/>
            <w:hideMark/>
          </w:tcPr>
          <w:p w:rsidR="00617D43" w:rsidRPr="005165EF" w:rsidRDefault="00617D43" w:rsidP="00617D43"/>
          <w:p w:rsidR="00617D43" w:rsidRPr="005165EF" w:rsidRDefault="00617D43" w:rsidP="005165EF">
            <w:r w:rsidRPr="005165EF">
              <w:t>___ ____________ 201</w:t>
            </w:r>
            <w:r w:rsidR="005165EF">
              <w:rPr>
                <w:rFonts w:eastAsia="PMingLiU" w:hint="eastAsia"/>
                <w:lang w:eastAsia="zh-TW"/>
              </w:rPr>
              <w:t>7</w:t>
            </w:r>
            <w:r w:rsidR="002C45BD" w:rsidRPr="005165EF">
              <w:t xml:space="preserve"> </w:t>
            </w:r>
            <w:r w:rsidRPr="005165EF">
              <w:t xml:space="preserve">г. </w:t>
            </w:r>
          </w:p>
        </w:tc>
        <w:tc>
          <w:tcPr>
            <w:tcW w:w="905" w:type="pct"/>
          </w:tcPr>
          <w:p w:rsidR="00617D43" w:rsidRPr="00617D43" w:rsidRDefault="00617D43" w:rsidP="00617D43"/>
        </w:tc>
        <w:tc>
          <w:tcPr>
            <w:tcW w:w="906" w:type="pct"/>
            <w:shd w:val="clear" w:color="auto" w:fill="auto"/>
            <w:tcMar>
              <w:top w:w="0" w:type="dxa"/>
              <w:left w:w="0" w:type="dxa"/>
              <w:bottom w:w="0" w:type="dxa"/>
              <w:right w:w="0" w:type="dxa"/>
            </w:tcMar>
            <w:vAlign w:val="center"/>
            <w:hideMark/>
          </w:tcPr>
          <w:p w:rsidR="00617D43" w:rsidRPr="00617D43" w:rsidRDefault="00617D43" w:rsidP="00617D43"/>
        </w:tc>
        <w:tc>
          <w:tcPr>
            <w:tcW w:w="7" w:type="pct"/>
            <w:shd w:val="clear" w:color="auto" w:fill="auto"/>
            <w:tcMar>
              <w:top w:w="0" w:type="dxa"/>
              <w:left w:w="0" w:type="dxa"/>
              <w:bottom w:w="0" w:type="dxa"/>
              <w:right w:w="0" w:type="dxa"/>
            </w:tcMar>
            <w:vAlign w:val="center"/>
            <w:hideMark/>
          </w:tcPr>
          <w:p w:rsidR="00617D43" w:rsidRPr="00617D43" w:rsidRDefault="00617D43" w:rsidP="00617D43"/>
        </w:tc>
      </w:tr>
    </w:tbl>
    <w:p w:rsidR="00617D43" w:rsidRPr="00617D43" w:rsidRDefault="00617D43" w:rsidP="00617D43">
      <w:pPr>
        <w:divId w:val="1977225192"/>
      </w:pPr>
    </w:p>
    <w:p w:rsidR="00617D43" w:rsidRPr="003C7F17" w:rsidRDefault="00617D43" w:rsidP="003C7F17">
      <w:r w:rsidRPr="003C7F17">
        <w:br w:type="page"/>
      </w:r>
    </w:p>
    <w:p w:rsidR="00617D43" w:rsidRPr="00617D43" w:rsidRDefault="00617D43" w:rsidP="00617D43">
      <w:pPr>
        <w:pStyle w:val="StyleBoldJustifiedFirstline095cm"/>
        <w:divId w:val="1977225192"/>
      </w:pPr>
      <w:r w:rsidRPr="00617D43">
        <w:lastRenderedPageBreak/>
        <w:t xml:space="preserve">Далее в настоящем документе будут использоваться следующие термины: </w:t>
      </w:r>
    </w:p>
    <w:p w:rsidR="00617D43" w:rsidRDefault="00617D43">
      <w:pPr>
        <w:ind w:firstLine="540"/>
        <w:jc w:val="both"/>
        <w:divId w:val="1977225192"/>
        <w:rPr>
          <w:rFonts w:eastAsia="Times New Roman"/>
        </w:rPr>
      </w:pPr>
      <w:r>
        <w:rPr>
          <w:rFonts w:eastAsia="Times New Roman"/>
          <w:b/>
          <w:bCs/>
          <w:i/>
          <w:iCs/>
        </w:rPr>
        <w:t xml:space="preserve">Программа или Программа облигаций - </w:t>
      </w:r>
      <w:r>
        <w:rPr>
          <w:rFonts w:eastAsia="Times New Roman"/>
          <w:i/>
          <w:iCs/>
        </w:rPr>
        <w:t>настоящая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r>
        <w:rPr>
          <w:rFonts w:eastAsia="Times New Roman"/>
        </w:rPr>
        <w:t xml:space="preserve"> </w:t>
      </w:r>
    </w:p>
    <w:p w:rsidR="00617D43" w:rsidRDefault="00617D43">
      <w:pPr>
        <w:ind w:firstLine="540"/>
        <w:jc w:val="both"/>
        <w:divId w:val="1977225192"/>
        <w:rPr>
          <w:rFonts w:eastAsia="Times New Roman"/>
        </w:rPr>
      </w:pPr>
      <w:r>
        <w:rPr>
          <w:rFonts w:eastAsia="Times New Roman"/>
          <w:b/>
          <w:bCs/>
          <w:i/>
          <w:iCs/>
        </w:rPr>
        <w:t xml:space="preserve">Условия выпуска - </w:t>
      </w:r>
      <w:r>
        <w:rPr>
          <w:rFonts w:eastAsia="Times New Roman"/>
          <w:i/>
          <w:iCs/>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r>
        <w:rPr>
          <w:rFonts w:eastAsia="Times New Roman"/>
        </w:rPr>
        <w:t xml:space="preserve"> </w:t>
      </w:r>
    </w:p>
    <w:p w:rsidR="00617D43" w:rsidRDefault="00617D43">
      <w:pPr>
        <w:ind w:firstLine="540"/>
        <w:jc w:val="both"/>
        <w:divId w:val="1977225192"/>
        <w:rPr>
          <w:rFonts w:eastAsia="Times New Roman"/>
        </w:rPr>
      </w:pPr>
      <w:r>
        <w:rPr>
          <w:rFonts w:eastAsia="Times New Roman"/>
          <w:b/>
          <w:bCs/>
          <w:i/>
          <w:iCs/>
        </w:rPr>
        <w:t xml:space="preserve">Выпуск - </w:t>
      </w:r>
      <w:r>
        <w:rPr>
          <w:rFonts w:eastAsia="Times New Roman"/>
          <w:i/>
          <w:iCs/>
        </w:rPr>
        <w:t>отдельный выпуск биржевых облигаций, размещаемых в рамках Программы;</w:t>
      </w:r>
      <w:r>
        <w:rPr>
          <w:rFonts w:eastAsia="Times New Roman"/>
        </w:rPr>
        <w:t xml:space="preserve"> </w:t>
      </w:r>
    </w:p>
    <w:p w:rsidR="00617D43" w:rsidRDefault="00617D43">
      <w:pPr>
        <w:ind w:firstLine="540"/>
        <w:jc w:val="both"/>
        <w:divId w:val="1977225192"/>
        <w:rPr>
          <w:rFonts w:eastAsia="Times New Roman"/>
        </w:rPr>
      </w:pPr>
      <w:r>
        <w:rPr>
          <w:rFonts w:eastAsia="Times New Roman"/>
          <w:b/>
          <w:bCs/>
          <w:i/>
          <w:iCs/>
        </w:rPr>
        <w:t xml:space="preserve">Биржевая облигация или Биржевая облигация выпуска - </w:t>
      </w:r>
      <w:r>
        <w:rPr>
          <w:rFonts w:eastAsia="Times New Roman"/>
          <w:i/>
          <w:iCs/>
        </w:rPr>
        <w:t xml:space="preserve">биржевая облигация, размещаемая в рамках Выпуска; </w:t>
      </w:r>
    </w:p>
    <w:p w:rsidR="00617D43" w:rsidRDefault="00617D43" w:rsidP="003C7F17">
      <w:pPr>
        <w:ind w:firstLine="540"/>
        <w:jc w:val="both"/>
        <w:rPr>
          <w:rFonts w:eastAsia="Times New Roman"/>
        </w:rPr>
      </w:pPr>
      <w:r>
        <w:rPr>
          <w:rFonts w:eastAsia="Times New Roman"/>
          <w:b/>
          <w:bCs/>
          <w:i/>
          <w:iCs/>
        </w:rPr>
        <w:t xml:space="preserve">Эмитент - </w:t>
      </w:r>
      <w:r>
        <w:rPr>
          <w:rFonts w:eastAsia="Times New Roman"/>
          <w:i/>
          <w:iCs/>
        </w:rPr>
        <w:t xml:space="preserve">Открытое акционерное общество </w:t>
      </w:r>
      <w:r w:rsidR="00343BD4" w:rsidRPr="00343BD4">
        <w:rPr>
          <w:rFonts w:eastAsia="Times New Roman"/>
          <w:i/>
          <w:iCs/>
        </w:rPr>
        <w:t>«Верхнебаканский цементный завод»</w:t>
      </w:r>
    </w:p>
    <w:p w:rsidR="00617D43" w:rsidRPr="00617D43" w:rsidRDefault="00617D43" w:rsidP="00617D43">
      <w:pPr>
        <w:pStyle w:val="StyleBoldJustifiedFirstline095cm"/>
        <w:divId w:val="1977225192"/>
      </w:pPr>
      <w:r w:rsidRPr="00617D43">
        <w:t>1. Вид ценных бумаг:</w:t>
      </w:r>
    </w:p>
    <w:p w:rsidR="00617D43" w:rsidRDefault="00617D43">
      <w:pPr>
        <w:ind w:firstLine="540"/>
        <w:jc w:val="both"/>
        <w:divId w:val="1977225192"/>
        <w:rPr>
          <w:rFonts w:eastAsia="Times New Roman"/>
        </w:rPr>
      </w:pPr>
      <w:r>
        <w:rPr>
          <w:rFonts w:eastAsia="Times New Roman"/>
        </w:rPr>
        <w:t xml:space="preserve">Вид ценных бумаг: </w:t>
      </w:r>
      <w:r>
        <w:rPr>
          <w:rFonts w:eastAsia="Times New Roman"/>
          <w:b/>
          <w:bCs/>
          <w:i/>
          <w:iCs/>
        </w:rPr>
        <w:t>Биржевые облигации на предъявителя</w:t>
      </w:r>
    </w:p>
    <w:p w:rsidR="00617D43" w:rsidRDefault="00617D43">
      <w:pPr>
        <w:ind w:firstLine="540"/>
        <w:jc w:val="both"/>
        <w:divId w:val="1977225192"/>
        <w:rPr>
          <w:rFonts w:eastAsia="Times New Roman"/>
        </w:rPr>
      </w:pPr>
      <w:r>
        <w:rPr>
          <w:rFonts w:eastAsia="Times New Roman"/>
        </w:rPr>
        <w:t xml:space="preserve">Иные идентификационные признаки облигаций, размещаемых в рамках программы облигаций: </w:t>
      </w:r>
      <w:r>
        <w:rPr>
          <w:rFonts w:eastAsia="Times New Roman"/>
          <w:b/>
          <w:bCs/>
          <w:i/>
          <w:iCs/>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 серии 001P</w:t>
      </w:r>
    </w:p>
    <w:p w:rsidR="00617D43" w:rsidRPr="002C45BD" w:rsidRDefault="00617D43" w:rsidP="002C45BD">
      <w:pPr>
        <w:ind w:firstLine="540"/>
        <w:jc w:val="both"/>
        <w:divId w:val="1977225192"/>
        <w:rPr>
          <w:b/>
          <w:bCs/>
          <w:i/>
          <w:iCs/>
          <w:u w:val="single"/>
        </w:rPr>
      </w:pPr>
      <w:r w:rsidRPr="002C45BD">
        <w:rPr>
          <w:b/>
          <w:bCs/>
          <w:i/>
          <w:iCs/>
          <w:u w:val="single"/>
        </w:rPr>
        <w:t xml:space="preserve">Информация о серии Биржевых облигаций будет указана в Условиях выпуска . </w:t>
      </w:r>
    </w:p>
    <w:p w:rsidR="00617D43" w:rsidRPr="002C45BD" w:rsidRDefault="00617D43" w:rsidP="002C45BD">
      <w:pPr>
        <w:pStyle w:val="StyleBoldJustifiedFirstline095cm"/>
        <w:divId w:val="1977225192"/>
      </w:pPr>
      <w:r w:rsidRPr="002C45BD">
        <w:t xml:space="preserve">2. Форма облигаций: </w:t>
      </w:r>
    </w:p>
    <w:p w:rsidR="00617D43" w:rsidRDefault="00617D43">
      <w:pPr>
        <w:ind w:firstLine="540"/>
        <w:jc w:val="both"/>
        <w:divId w:val="1977225192"/>
        <w:rPr>
          <w:rFonts w:eastAsia="Times New Roman"/>
        </w:rPr>
      </w:pPr>
      <w:r>
        <w:rPr>
          <w:rFonts w:eastAsia="Times New Roman"/>
          <w:b/>
          <w:bCs/>
          <w:i/>
          <w:iCs/>
        </w:rPr>
        <w:t>документарные</w:t>
      </w:r>
    </w:p>
    <w:p w:rsidR="00617D43" w:rsidRPr="002C45BD" w:rsidRDefault="00617D43" w:rsidP="002C45BD">
      <w:pPr>
        <w:pStyle w:val="StyleBoldJustifiedFirstline095cm"/>
        <w:divId w:val="1977225192"/>
      </w:pPr>
      <w:r w:rsidRPr="002C45BD">
        <w:t>3. Указание на обязательное централизованное хранение:</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Предусмотрено обязательное централизованное хранение Биржевых облигаций. </w:t>
      </w:r>
    </w:p>
    <w:p w:rsidR="002C45BD" w:rsidRDefault="002C45BD">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Депозитарий, осуществляющий централизованное хранение:</w:t>
      </w:r>
    </w:p>
    <w:p w:rsidR="00617D43" w:rsidRDefault="00617D43">
      <w:pPr>
        <w:ind w:firstLine="540"/>
        <w:jc w:val="both"/>
        <w:divId w:val="1977225192"/>
        <w:rPr>
          <w:rFonts w:eastAsia="Times New Roman"/>
        </w:rPr>
      </w:pPr>
      <w:r>
        <w:rPr>
          <w:rFonts w:eastAsia="Times New Roman"/>
        </w:rPr>
        <w:t xml:space="preserve">Полное фирменное наименование: </w:t>
      </w:r>
      <w:r>
        <w:rPr>
          <w:rFonts w:eastAsia="Times New Roman"/>
          <w:b/>
          <w:bCs/>
          <w:i/>
          <w:iCs/>
        </w:rPr>
        <w:t>Небанковская кредитная организация акционерное общество "Национальный расчетный депозитарий"</w:t>
      </w:r>
    </w:p>
    <w:p w:rsidR="00617D43" w:rsidRDefault="00617D43">
      <w:pPr>
        <w:ind w:firstLine="540"/>
        <w:jc w:val="both"/>
        <w:divId w:val="1977225192"/>
        <w:rPr>
          <w:rFonts w:eastAsia="Times New Roman"/>
        </w:rPr>
      </w:pPr>
      <w:r>
        <w:rPr>
          <w:rFonts w:eastAsia="Times New Roman"/>
        </w:rPr>
        <w:t xml:space="preserve">Сокращенное фирменное наименование: </w:t>
      </w:r>
      <w:r>
        <w:rPr>
          <w:rFonts w:eastAsia="Times New Roman"/>
          <w:b/>
          <w:bCs/>
          <w:i/>
          <w:iCs/>
        </w:rPr>
        <w:t>НКО АО НРД</w:t>
      </w:r>
    </w:p>
    <w:p w:rsidR="00617D43" w:rsidRDefault="00617D43">
      <w:pPr>
        <w:ind w:firstLine="540"/>
        <w:jc w:val="both"/>
        <w:divId w:val="1977225192"/>
        <w:rPr>
          <w:rFonts w:eastAsia="Times New Roman"/>
        </w:rPr>
      </w:pPr>
      <w:r>
        <w:rPr>
          <w:rFonts w:eastAsia="Times New Roman"/>
        </w:rPr>
        <w:t xml:space="preserve">Место нахождения: </w:t>
      </w:r>
      <w:r>
        <w:rPr>
          <w:rFonts w:eastAsia="Times New Roman"/>
          <w:b/>
          <w:bCs/>
          <w:i/>
          <w:iCs/>
        </w:rPr>
        <w:t>город Москва, улица Спартаковская, дом 12</w:t>
      </w:r>
    </w:p>
    <w:p w:rsidR="00617D43" w:rsidRDefault="00617D43">
      <w:pPr>
        <w:ind w:firstLine="540"/>
        <w:jc w:val="both"/>
        <w:divId w:val="1977225192"/>
        <w:rPr>
          <w:rFonts w:eastAsia="Times New Roman"/>
        </w:rPr>
      </w:pPr>
      <w:r>
        <w:rPr>
          <w:rFonts w:eastAsia="Times New Roman"/>
        </w:rPr>
        <w:t xml:space="preserve">Почтовый адрес: </w:t>
      </w:r>
      <w:r>
        <w:rPr>
          <w:rFonts w:eastAsia="Times New Roman"/>
          <w:b/>
          <w:bCs/>
          <w:i/>
          <w:iCs/>
        </w:rPr>
        <w:t>105066, г. Москва, ул. Спартаковская, дом 12</w:t>
      </w:r>
    </w:p>
    <w:p w:rsidR="00617D43" w:rsidRDefault="00617D43">
      <w:pPr>
        <w:ind w:firstLine="540"/>
        <w:jc w:val="both"/>
        <w:divId w:val="1977225192"/>
        <w:rPr>
          <w:rFonts w:eastAsia="Times New Roman"/>
        </w:rPr>
      </w:pPr>
      <w:r>
        <w:rPr>
          <w:rFonts w:eastAsia="Times New Roman"/>
        </w:rPr>
        <w:t xml:space="preserve">ИНН: </w:t>
      </w:r>
      <w:r>
        <w:rPr>
          <w:rFonts w:eastAsia="Times New Roman"/>
          <w:b/>
          <w:bCs/>
          <w:i/>
          <w:iCs/>
        </w:rPr>
        <w:t>7702165310</w:t>
      </w:r>
    </w:p>
    <w:p w:rsidR="00617D43" w:rsidRDefault="00617D43">
      <w:pPr>
        <w:ind w:firstLine="540"/>
        <w:jc w:val="both"/>
        <w:divId w:val="1977225192"/>
        <w:rPr>
          <w:rFonts w:eastAsia="Times New Roman"/>
        </w:rPr>
      </w:pPr>
      <w:r>
        <w:rPr>
          <w:rFonts w:eastAsia="Times New Roman"/>
        </w:rPr>
        <w:t xml:space="preserve">Телефон: </w:t>
      </w:r>
      <w:r>
        <w:rPr>
          <w:rFonts w:eastAsia="Times New Roman"/>
          <w:b/>
          <w:bCs/>
          <w:i/>
          <w:iCs/>
        </w:rPr>
        <w:t>(495) 956-27-89, (495) 956-27-90</w:t>
      </w:r>
    </w:p>
    <w:p w:rsidR="00617D43" w:rsidRDefault="00617D43">
      <w:pPr>
        <w:ind w:firstLine="540"/>
        <w:jc w:val="both"/>
        <w:divId w:val="1977225192"/>
        <w:rPr>
          <w:rFonts w:eastAsia="Times New Roman"/>
        </w:rPr>
      </w:pPr>
      <w:r>
        <w:rPr>
          <w:rFonts w:eastAsia="Times New Roman"/>
        </w:rPr>
        <w:t xml:space="preserve">Номер лицензии на осуществление депозитарной деятельности: </w:t>
      </w:r>
      <w:r>
        <w:rPr>
          <w:rFonts w:eastAsia="Times New Roman"/>
          <w:b/>
          <w:bCs/>
          <w:i/>
          <w:iCs/>
        </w:rPr>
        <w:t>045-12042-000100</w:t>
      </w:r>
    </w:p>
    <w:p w:rsidR="00617D43" w:rsidRDefault="00617D43">
      <w:pPr>
        <w:ind w:firstLine="540"/>
        <w:jc w:val="both"/>
        <w:divId w:val="1977225192"/>
        <w:rPr>
          <w:rFonts w:eastAsia="Times New Roman"/>
        </w:rPr>
      </w:pPr>
      <w:r>
        <w:rPr>
          <w:rFonts w:eastAsia="Times New Roman"/>
        </w:rPr>
        <w:t xml:space="preserve">Дата выдачи: </w:t>
      </w:r>
      <w:r>
        <w:rPr>
          <w:rFonts w:eastAsia="Times New Roman"/>
          <w:b/>
          <w:bCs/>
          <w:i/>
          <w:iCs/>
        </w:rPr>
        <w:t>19.02.2009</w:t>
      </w:r>
    </w:p>
    <w:p w:rsidR="00617D43" w:rsidRDefault="00617D43">
      <w:pPr>
        <w:ind w:firstLine="540"/>
        <w:jc w:val="both"/>
        <w:divId w:val="1977225192"/>
        <w:rPr>
          <w:rFonts w:eastAsia="Times New Roman"/>
        </w:rPr>
      </w:pPr>
      <w:r>
        <w:rPr>
          <w:rFonts w:eastAsia="Times New Roman"/>
        </w:rPr>
        <w:t xml:space="preserve">Срок действия: </w:t>
      </w:r>
      <w:r>
        <w:rPr>
          <w:rFonts w:eastAsia="Times New Roman"/>
          <w:b/>
          <w:bCs/>
          <w:i/>
          <w:iCs/>
        </w:rPr>
        <w:t>без ограничения срока действия</w:t>
      </w:r>
    </w:p>
    <w:p w:rsidR="00617D43" w:rsidRDefault="00617D43">
      <w:pPr>
        <w:ind w:firstLine="540"/>
        <w:jc w:val="both"/>
        <w:divId w:val="1977225192"/>
        <w:rPr>
          <w:rFonts w:eastAsia="Times New Roman"/>
        </w:rPr>
      </w:pPr>
      <w:r>
        <w:rPr>
          <w:rFonts w:eastAsia="Times New Roman"/>
        </w:rPr>
        <w:t xml:space="preserve">Лицензирующий орган: </w:t>
      </w:r>
      <w:r>
        <w:rPr>
          <w:rFonts w:eastAsia="Times New Roman"/>
          <w:b/>
          <w:bCs/>
          <w:i/>
          <w:iCs/>
        </w:rPr>
        <w:t>ФСФР России</w:t>
      </w:r>
    </w:p>
    <w:p w:rsidR="00617D43" w:rsidRDefault="00617D43">
      <w:pPr>
        <w:ind w:firstLine="540"/>
        <w:jc w:val="both"/>
        <w:divId w:val="1977225192"/>
        <w:rPr>
          <w:rFonts w:eastAsia="Times New Roman"/>
        </w:rPr>
      </w:pPr>
      <w:r>
        <w:rPr>
          <w:rFonts w:eastAsia="Times New Roman"/>
        </w:rPr>
        <w:t>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До даты начала размещения Биржевых облигаций Эмитент передает Сертификат на хранение в НРД. </w:t>
      </w:r>
    </w:p>
    <w:p w:rsidR="00617D43" w:rsidRPr="002C45BD" w:rsidRDefault="00617D43" w:rsidP="002C45BD">
      <w:pPr>
        <w:ind w:firstLine="540"/>
        <w:jc w:val="both"/>
        <w:divId w:val="1977225192"/>
        <w:rPr>
          <w:rFonts w:eastAsia="Times New Roman"/>
          <w:b/>
          <w:bCs/>
          <w:i/>
          <w:iCs/>
          <w:u w:val="single"/>
        </w:rPr>
      </w:pPr>
      <w:r w:rsidRPr="002C45BD">
        <w:rPr>
          <w:rFonts w:eastAsia="Times New Roman"/>
          <w:b/>
          <w:bCs/>
          <w:i/>
          <w:iCs/>
          <w:u w:val="single"/>
        </w:rPr>
        <w:t xml:space="preserve">Образец Сертификата Биржевых облигаций приводится в приложении к соответствующим Условиям выпуска.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lastRenderedPageBreak/>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 Закон о рынке ценных бумаг")</w:t>
      </w:r>
      <w:r w:rsidR="00F01452">
        <w:rPr>
          <w:rFonts w:eastAsia="Times New Roman"/>
          <w:b/>
          <w:bCs/>
          <w:i/>
          <w:iCs/>
        </w:rPr>
        <w:t>,</w:t>
      </w:r>
      <w:r w:rsidRPr="002C45BD">
        <w:rPr>
          <w:rFonts w:eastAsia="Times New Roman"/>
          <w:b/>
          <w:bCs/>
          <w:i/>
          <w:iCs/>
        </w:rPr>
        <w:t xml:space="preserve"> а также иными нормативными правовыми актами Российской Федерации и внутренними документами депозитария.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 </w:t>
      </w:r>
    </w:p>
    <w:p w:rsidR="00617D43" w:rsidRPr="00617D43" w:rsidRDefault="00617D43" w:rsidP="00617D43">
      <w:pPr>
        <w:pStyle w:val="StyleBoldJustifiedFirstline095cm"/>
        <w:divId w:val="1977225192"/>
      </w:pPr>
      <w:r w:rsidRPr="00617D43">
        <w:t>4. 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Минимальная и максимальная номинальная стоимость каждой Биржевой облигации в условиях Программы облигаций не определяется. </w:t>
      </w:r>
    </w:p>
    <w:p w:rsidR="00617D43" w:rsidRPr="002C45BD" w:rsidRDefault="00617D43" w:rsidP="002C45BD">
      <w:pPr>
        <w:ind w:firstLine="540"/>
        <w:jc w:val="both"/>
        <w:divId w:val="1977225192"/>
        <w:rPr>
          <w:rFonts w:eastAsia="Times New Roman"/>
          <w:b/>
          <w:bCs/>
          <w:i/>
          <w:iCs/>
          <w:u w:val="single"/>
        </w:rPr>
      </w:pPr>
      <w:r w:rsidRPr="002C45BD">
        <w:rPr>
          <w:rFonts w:eastAsia="Times New Roman"/>
          <w:b/>
          <w:bCs/>
          <w:i/>
          <w:iCs/>
          <w:u w:val="single"/>
        </w:rPr>
        <w:t xml:space="preserve">Номинальная стоимость каждой Биржевой облигации будет установлена в соответствующих Условиях выпуска. </w:t>
      </w:r>
    </w:p>
    <w:p w:rsidR="00617D43" w:rsidRPr="00617D43" w:rsidRDefault="00617D43" w:rsidP="00617D43">
      <w:pPr>
        <w:pStyle w:val="StyleBoldJustifiedFirstline095cm"/>
        <w:divId w:val="1977225192"/>
      </w:pPr>
      <w:r w:rsidRPr="00617D43">
        <w:t>5. Минимальное и (или) максимальное количество облигаций отдельного выпуска (дополнительного выпуска), размещаемых в рамках программы облигаций:</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Минимальное и максимальное количество Биржевых облигаций выпуска в условиях Программы облигаций не определяется. </w:t>
      </w:r>
    </w:p>
    <w:p w:rsidR="00617D43" w:rsidRPr="002C45BD" w:rsidRDefault="00617D43" w:rsidP="002C45BD">
      <w:pPr>
        <w:ind w:firstLine="540"/>
        <w:jc w:val="both"/>
        <w:divId w:val="1977225192"/>
        <w:rPr>
          <w:rFonts w:eastAsia="Times New Roman"/>
          <w:b/>
          <w:bCs/>
          <w:i/>
          <w:iCs/>
          <w:u w:val="single"/>
        </w:rPr>
      </w:pPr>
      <w:r w:rsidRPr="002C45BD">
        <w:rPr>
          <w:rFonts w:eastAsia="Times New Roman"/>
          <w:b/>
          <w:bCs/>
          <w:i/>
          <w:iCs/>
          <w:u w:val="single"/>
        </w:rPr>
        <w:lastRenderedPageBreak/>
        <w:t xml:space="preserve">Количество Биржевых облигаций Выпуска, размещаемого в рамках Программы облигаций, будет установлено в соответствующих Условиях выпуска. </w:t>
      </w:r>
    </w:p>
    <w:p w:rsidR="00617D43" w:rsidRDefault="00617D43">
      <w:pPr>
        <w:ind w:firstLine="540"/>
        <w:jc w:val="both"/>
        <w:divId w:val="1977225192"/>
        <w:rPr>
          <w:rFonts w:eastAsia="Times New Roman"/>
        </w:rPr>
      </w:pPr>
      <w:r>
        <w:rPr>
          <w:rFonts w:eastAsia="Times New Roman"/>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Биржевые облигации не предполагается размещать траншами. </w:t>
      </w:r>
    </w:p>
    <w:p w:rsidR="00617D43" w:rsidRDefault="00617D43" w:rsidP="002C45BD">
      <w:pPr>
        <w:ind w:firstLine="540"/>
        <w:jc w:val="both"/>
        <w:divId w:val="1977225192"/>
        <w:rPr>
          <w:rFonts w:eastAsia="Times New Roman"/>
        </w:rPr>
      </w:pPr>
    </w:p>
    <w:p w:rsidR="00617D43" w:rsidRPr="00617D43" w:rsidRDefault="00617D43" w:rsidP="00617D43">
      <w:pPr>
        <w:pStyle w:val="StyleBoldJustifiedFirstline095cm"/>
        <w:divId w:val="1977225192"/>
      </w:pPr>
      <w:r w:rsidRPr="00617D43">
        <w:t>6. Максимальная сумма номинальных стоимостей облигаций, которые могут быть размещены в рамках программы облигаций:</w:t>
      </w:r>
    </w:p>
    <w:p w:rsidR="00617D43" w:rsidRDefault="00617D43">
      <w:pPr>
        <w:ind w:firstLine="540"/>
        <w:jc w:val="both"/>
        <w:divId w:val="1977225192"/>
        <w:rPr>
          <w:rFonts w:eastAsia="Times New Roman"/>
        </w:rPr>
      </w:pPr>
      <w:r>
        <w:rPr>
          <w:rFonts w:eastAsia="Times New Roman"/>
        </w:rPr>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Максимальная сумма номинальных стоимостей Биржевых облигаций, которые могут быть размещены в рамках Программы облигаций, составляет 10 000 000 000 (Десять миллиардов)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 </w:t>
      </w:r>
    </w:p>
    <w:p w:rsidR="00617D43" w:rsidRDefault="00617D43">
      <w:pPr>
        <w:ind w:firstLine="540"/>
        <w:jc w:val="both"/>
        <w:divId w:val="1977225192"/>
        <w:rPr>
          <w:rFonts w:eastAsia="Times New Roman"/>
        </w:rPr>
      </w:pPr>
      <w:r>
        <w:rPr>
          <w:rFonts w:eastAsia="Times New Roman"/>
        </w:rPr>
        <w:t> </w:t>
      </w:r>
    </w:p>
    <w:p w:rsidR="00617D43" w:rsidRPr="002C45BD" w:rsidRDefault="00617D43" w:rsidP="002C45BD">
      <w:pPr>
        <w:pStyle w:val="StyleBoldJustifiedFirstline095cm"/>
        <w:divId w:val="1977225192"/>
      </w:pPr>
      <w:r w:rsidRPr="002C45BD">
        <w:t xml:space="preserve">7. Определяемые общим образом права владельцев облигаций, которые могут быть размещены в рамках программы облигаций: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 </w:t>
      </w:r>
    </w:p>
    <w:p w:rsidR="00617D43" w:rsidRPr="002C45BD" w:rsidRDefault="002C45BD" w:rsidP="002C45BD">
      <w:pPr>
        <w:ind w:firstLine="540"/>
        <w:jc w:val="both"/>
        <w:divId w:val="1977225192"/>
        <w:rPr>
          <w:rFonts w:eastAsia="Times New Roman"/>
          <w:b/>
          <w:bCs/>
          <w:i/>
          <w:iCs/>
        </w:rPr>
      </w:pPr>
      <w:r w:rsidRPr="002C45BD">
        <w:rPr>
          <w:rFonts w:eastAsia="Times New Roman"/>
          <w:b/>
          <w:bCs/>
          <w:i/>
          <w:iCs/>
        </w:rPr>
        <w:t xml:space="preserve">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Владелец Биржевых облигаций вправе осуществлять иные права, предусмотренные законодательством Российской Федерации.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rsidR="00617D43" w:rsidRPr="002C45BD" w:rsidRDefault="002C45BD" w:rsidP="002C45BD">
      <w:pPr>
        <w:ind w:firstLine="540"/>
        <w:jc w:val="both"/>
        <w:divId w:val="1977225192"/>
        <w:rPr>
          <w:rFonts w:eastAsia="Times New Roman"/>
          <w:b/>
          <w:bCs/>
          <w:i/>
          <w:iCs/>
        </w:rPr>
      </w:pPr>
      <w:r w:rsidRPr="002C45BD">
        <w:rPr>
          <w:rFonts w:eastAsia="Times New Roman"/>
          <w:b/>
          <w:bCs/>
          <w:i/>
          <w:iCs/>
        </w:rPr>
        <w:t xml:space="preserve">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Предоставление обеспечения по Биржевым облигациям не предусмотрено.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Размещаемые ценные бумаги не являются ценными бумагами, предназначенными для квалифицированных инвесторов.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w:t>
      </w:r>
    </w:p>
    <w:p w:rsidR="00617D43" w:rsidRPr="00617D43" w:rsidRDefault="00617D43" w:rsidP="00617D43">
      <w:pPr>
        <w:pStyle w:val="StyleBoldJustifiedFirstline095cm"/>
        <w:divId w:val="1977225192"/>
      </w:pPr>
      <w:r w:rsidRPr="00617D43">
        <w:t>8. Условия и порядок размещения облигаций, которые могут быть размещены в рамках программы облигаций:</w:t>
      </w:r>
      <w:r w:rsidRPr="00617D43">
        <w:rPr>
          <w:szCs w:val="48"/>
        </w:rPr>
        <w:t xml:space="preserve"> </w:t>
      </w:r>
    </w:p>
    <w:p w:rsidR="00617D43" w:rsidRDefault="00617D43" w:rsidP="002C45BD">
      <w:pPr>
        <w:ind w:firstLine="540"/>
        <w:jc w:val="both"/>
        <w:rPr>
          <w:rFonts w:eastAsia="Times New Roman"/>
        </w:rPr>
      </w:pPr>
      <w:r>
        <w:rPr>
          <w:rFonts w:eastAsia="Times New Roman"/>
        </w:rPr>
        <w:t> </w:t>
      </w:r>
    </w:p>
    <w:p w:rsidR="00617D43" w:rsidRDefault="00617D43" w:rsidP="002C45BD">
      <w:pPr>
        <w:pStyle w:val="StyleBoldJustifiedFirstline095cm"/>
        <w:divId w:val="1977225192"/>
      </w:pPr>
      <w:r>
        <w:t xml:space="preserve">8.1. Способ размещения облигаций, которые могут быть размещены в рамках программы облигаций: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Открытая подписка. </w:t>
      </w:r>
    </w:p>
    <w:p w:rsidR="00617D43" w:rsidRDefault="00617D43">
      <w:pPr>
        <w:ind w:firstLine="540"/>
        <w:jc w:val="both"/>
        <w:divId w:val="1977225192"/>
        <w:rPr>
          <w:rFonts w:eastAsia="Times New Roman"/>
        </w:rPr>
      </w:pPr>
      <w:r>
        <w:rPr>
          <w:rFonts w:eastAsia="Times New Roman"/>
        </w:rPr>
        <w:t> </w:t>
      </w:r>
    </w:p>
    <w:p w:rsidR="00617D43" w:rsidRDefault="00617D43" w:rsidP="002C45BD">
      <w:pPr>
        <w:pStyle w:val="StyleBoldJustifiedFirstline095cm"/>
        <w:divId w:val="1977225192"/>
      </w:pPr>
      <w:r>
        <w:t xml:space="preserve">8.2. Срок размещения облигаций, которые могут быть размещены в рамках программы облигаций: </w:t>
      </w:r>
    </w:p>
    <w:p w:rsidR="00617D43" w:rsidRDefault="00617D43">
      <w:pPr>
        <w:ind w:firstLine="540"/>
        <w:jc w:val="both"/>
        <w:divId w:val="1977225192"/>
        <w:rPr>
          <w:rFonts w:eastAsia="Times New Roman"/>
        </w:rPr>
      </w:pPr>
      <w:r>
        <w:rPr>
          <w:rFonts w:eastAsia="Times New Roman"/>
        </w:rPr>
        <w:lastRenderedPageBreak/>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Срок (порядок определения срока) размещения Биржевых облигаций Программой не определяется.</w:t>
      </w:r>
    </w:p>
    <w:p w:rsidR="00617D43" w:rsidRPr="002C45BD" w:rsidRDefault="00617D43" w:rsidP="002C45BD">
      <w:pPr>
        <w:ind w:firstLine="540"/>
        <w:jc w:val="both"/>
        <w:rPr>
          <w:rFonts w:eastAsia="Times New Roman"/>
          <w:b/>
          <w:bCs/>
          <w:i/>
          <w:iCs/>
        </w:rPr>
      </w:pPr>
      <w:r w:rsidRPr="002C45BD">
        <w:rPr>
          <w:rFonts w:eastAsia="Times New Roman"/>
          <w:b/>
          <w:bCs/>
          <w:i/>
          <w:iCs/>
        </w:rPr>
        <w:t> </w:t>
      </w:r>
    </w:p>
    <w:p w:rsidR="00617D43" w:rsidRPr="002C45BD" w:rsidRDefault="00617D43" w:rsidP="002C45BD">
      <w:pPr>
        <w:ind w:firstLine="540"/>
        <w:jc w:val="both"/>
        <w:divId w:val="1977225192"/>
        <w:rPr>
          <w:rFonts w:eastAsia="Times New Roman"/>
          <w:b/>
          <w:bCs/>
          <w:i/>
          <w:iCs/>
        </w:rPr>
      </w:pPr>
      <w:r w:rsidRPr="002C45BD">
        <w:rPr>
          <w:rFonts w:eastAsia="Times New Roman"/>
          <w:b/>
          <w:bCs/>
          <w:i/>
          <w:iCs/>
        </w:rPr>
        <w:t xml:space="preserve">Дата начала размещения Биржевых облигаций определяется уполномоченным органом управления Эмитента. </w:t>
      </w:r>
    </w:p>
    <w:p w:rsidR="00617D43" w:rsidRDefault="00617D43" w:rsidP="003C7F17">
      <w:pPr>
        <w:ind w:firstLine="540"/>
        <w:jc w:val="both"/>
        <w:divId w:val="1977225192"/>
        <w:rPr>
          <w:rFonts w:eastAsia="Times New Roman"/>
        </w:rPr>
      </w:pPr>
      <w:r>
        <w:rPr>
          <w:rFonts w:eastAsia="Times New Roman"/>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ценных бумаг (далее - "Проспект"), </w:t>
      </w:r>
      <w:r w:rsidRPr="003C7F17">
        <w:rPr>
          <w:rFonts w:eastAsia="Times New Roman"/>
          <w:b/>
          <w:bCs/>
          <w:i/>
          <w:iCs/>
          <w:u w:val="single"/>
        </w:rPr>
        <w:t>и может быть указана в Условиях выпуска</w:t>
      </w:r>
      <w:r>
        <w:rPr>
          <w:rFonts w:eastAsia="Times New Roman"/>
          <w:b/>
          <w:bCs/>
          <w:i/>
          <w:iCs/>
        </w:rPr>
        <w:t>. Дата начала размещения Биржевых облигаций устанавливается Эмитентом в соответствии с действующим законодательством Российской Федерации.</w:t>
      </w:r>
    </w:p>
    <w:p w:rsidR="00617D43" w:rsidRDefault="00617D43">
      <w:pPr>
        <w:ind w:firstLine="540"/>
        <w:jc w:val="both"/>
        <w:divId w:val="1977225192"/>
        <w:rPr>
          <w:rFonts w:eastAsia="Times New Roman"/>
        </w:rPr>
      </w:pPr>
      <w:r>
        <w:rPr>
          <w:rFonts w:eastAsia="Times New Roman"/>
          <w:b/>
          <w:bCs/>
          <w:i/>
          <w:iCs/>
        </w:rPr>
        <w:t>Об определенной дате начала размещения Эмитент уведомляет Биржу и НРД в согласованном порядке.</w:t>
      </w:r>
    </w:p>
    <w:p w:rsidR="00617D43" w:rsidRDefault="002C45BD">
      <w:pPr>
        <w:ind w:firstLine="540"/>
        <w:jc w:val="both"/>
        <w:divId w:val="1977225192"/>
        <w:rPr>
          <w:rFonts w:eastAsia="Times New Roman"/>
        </w:rPr>
      </w:pPr>
      <w:r>
        <w:rPr>
          <w:rFonts w:eastAsia="Times New Roman"/>
          <w:b/>
          <w:bCs/>
          <w:i/>
          <w:iCs/>
        </w:rPr>
        <w:t xml:space="preserve"> </w:t>
      </w:r>
    </w:p>
    <w:p w:rsidR="00617D43" w:rsidRDefault="00617D43">
      <w:pPr>
        <w:ind w:firstLine="540"/>
        <w:jc w:val="both"/>
        <w:divId w:val="1977225192"/>
        <w:rPr>
          <w:rFonts w:eastAsia="Times New Roman"/>
        </w:rPr>
      </w:pPr>
      <w:r>
        <w:rPr>
          <w:rFonts w:eastAsia="Times New Roman"/>
          <w:b/>
          <w:bCs/>
          <w:i/>
          <w:iCs/>
        </w:rPr>
        <w:t>Дата начала размещения Биржевых облигаций, которая не была установлена в Условиях выпуска,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rsidR="00617D43" w:rsidRDefault="002C45BD">
      <w:pPr>
        <w:ind w:firstLine="540"/>
        <w:jc w:val="both"/>
        <w:divId w:val="1977225192"/>
        <w:rPr>
          <w:rFonts w:eastAsia="Times New Roman"/>
        </w:rPr>
      </w:pPr>
      <w:r>
        <w:rPr>
          <w:rFonts w:eastAsia="Times New Roman"/>
          <w:b/>
          <w:bCs/>
          <w:i/>
          <w:iCs/>
        </w:rPr>
        <w:t xml:space="preserve"> </w:t>
      </w:r>
    </w:p>
    <w:p w:rsidR="00617D43" w:rsidRDefault="00617D43">
      <w:pPr>
        <w:ind w:firstLine="540"/>
        <w:jc w:val="both"/>
        <w:divId w:val="1977225192"/>
        <w:rPr>
          <w:rFonts w:eastAsia="Times New Roman"/>
        </w:rPr>
      </w:pPr>
      <w:r>
        <w:rPr>
          <w:rFonts w:eastAsia="Times New Roman"/>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p>
    <w:p w:rsidR="00617D43" w:rsidRDefault="00617D43" w:rsidP="003C7F17">
      <w:pPr>
        <w:ind w:firstLine="540"/>
        <w:jc w:val="both"/>
        <w:divId w:val="1977225192"/>
        <w:rPr>
          <w:rFonts w:eastAsia="Times New Roman"/>
        </w:rPr>
      </w:pPr>
      <w:r>
        <w:rPr>
          <w:rFonts w:eastAsia="Times New Roman"/>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rsidR="00617D43" w:rsidRDefault="00617D43">
      <w:pPr>
        <w:ind w:firstLine="540"/>
        <w:jc w:val="both"/>
        <w:divId w:val="1977225192"/>
        <w:rPr>
          <w:rFonts w:eastAsia="Times New Roman"/>
        </w:rPr>
      </w:pPr>
      <w:r>
        <w:rPr>
          <w:rFonts w:eastAsia="Times New Roman"/>
        </w:rPr>
        <w:t> </w:t>
      </w:r>
    </w:p>
    <w:p w:rsidR="00617D43" w:rsidRPr="002C45BD" w:rsidRDefault="00617D43" w:rsidP="002C45BD">
      <w:pPr>
        <w:ind w:firstLine="540"/>
        <w:jc w:val="both"/>
        <w:divId w:val="1977225192"/>
        <w:rPr>
          <w:rFonts w:eastAsia="Times New Roman"/>
          <w:b/>
          <w:bCs/>
          <w:i/>
          <w:iCs/>
          <w:u w:val="single"/>
        </w:rPr>
      </w:pPr>
      <w:r w:rsidRPr="002C45BD">
        <w:rPr>
          <w:rFonts w:eastAsia="Times New Roman"/>
          <w:b/>
          <w:bCs/>
          <w:i/>
          <w:iCs/>
          <w:u w:val="single"/>
        </w:rPr>
        <w:t xml:space="preserve">Дата окончания размещения Биржевых облигаций (или порядок определения срока их размещения) будет установлена в соответствующих Условиях выпуска. </w:t>
      </w:r>
    </w:p>
    <w:p w:rsidR="00617D43" w:rsidRDefault="00617D43" w:rsidP="00554456">
      <w:pPr>
        <w:pStyle w:val="StyleBoldJustifiedFirstline095cm"/>
        <w:divId w:val="1977225192"/>
      </w:pPr>
      <w:r>
        <w:t xml:space="preserve">8.3. Порядок размещения облигаций в рамках программы облигаций: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п. 8.4 Программы (далее - "Цена размещения").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rsidR="00617D43" w:rsidRDefault="00617D43">
      <w:pPr>
        <w:ind w:firstLine="540"/>
        <w:jc w:val="both"/>
        <w:divId w:val="1977225192"/>
        <w:rPr>
          <w:rFonts w:eastAsia="Times New Roman"/>
        </w:rPr>
      </w:pPr>
      <w:r>
        <w:rPr>
          <w:rFonts w:eastAsia="Times New Roman"/>
        </w:rPr>
        <w:t> </w:t>
      </w:r>
    </w:p>
    <w:p w:rsidR="00617D43" w:rsidRDefault="00617D43">
      <w:pPr>
        <w:ind w:firstLine="540"/>
        <w:jc w:val="both"/>
        <w:divId w:val="1977225192"/>
        <w:rPr>
          <w:rFonts w:eastAsia="Times New Roman"/>
        </w:rPr>
      </w:pPr>
      <w:r>
        <w:rPr>
          <w:rFonts w:eastAsia="Times New Roman"/>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617D43" w:rsidRPr="00554456" w:rsidRDefault="00617D43" w:rsidP="00554456">
      <w:pPr>
        <w:ind w:firstLine="540"/>
        <w:jc w:val="both"/>
        <w:divId w:val="1977225192"/>
        <w:rPr>
          <w:rFonts w:eastAsia="Times New Roman"/>
          <w:b/>
          <w:bCs/>
          <w:i/>
          <w:iCs/>
        </w:rPr>
      </w:pP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Сведения о лице, организующем проведение торгов (ранее и далее - "Организатор торговли", "Биржа"): </w:t>
      </w:r>
    </w:p>
    <w:p w:rsidR="00617D43" w:rsidRDefault="00617D43" w:rsidP="00554456">
      <w:pPr>
        <w:ind w:firstLine="540"/>
        <w:jc w:val="both"/>
        <w:rPr>
          <w:rFonts w:eastAsia="Times New Roman"/>
        </w:rPr>
      </w:pPr>
      <w:r>
        <w:rPr>
          <w:rFonts w:eastAsia="Times New Roman"/>
        </w:rPr>
        <w:lastRenderedPageBreak/>
        <w:t>Полное фирменное наименование</w:t>
      </w:r>
      <w:r>
        <w:rPr>
          <w:rFonts w:eastAsia="Times New Roman"/>
          <w:b/>
          <w:bCs/>
          <w:i/>
          <w:iCs/>
        </w:rPr>
        <w:t xml:space="preserve">: Публичное акционерное общество "Московская Биржа ММВБ-РТС" </w:t>
      </w:r>
    </w:p>
    <w:p w:rsidR="00617D43" w:rsidRDefault="00617D43" w:rsidP="00554456">
      <w:pPr>
        <w:ind w:firstLine="540"/>
        <w:jc w:val="both"/>
        <w:rPr>
          <w:rFonts w:eastAsia="Times New Roman"/>
        </w:rPr>
      </w:pPr>
      <w:r>
        <w:rPr>
          <w:rFonts w:eastAsia="Times New Roman"/>
        </w:rPr>
        <w:t>Сокращенное фирменное наименование</w:t>
      </w:r>
      <w:r>
        <w:rPr>
          <w:rFonts w:eastAsia="Times New Roman"/>
          <w:b/>
          <w:bCs/>
          <w:i/>
          <w:iCs/>
        </w:rPr>
        <w:t>: ПАО Московская Биржа</w:t>
      </w:r>
    </w:p>
    <w:p w:rsidR="00617D43" w:rsidRDefault="00617D43" w:rsidP="00554456">
      <w:pPr>
        <w:ind w:firstLine="540"/>
        <w:jc w:val="both"/>
        <w:divId w:val="1977225192"/>
        <w:rPr>
          <w:rFonts w:eastAsia="Times New Roman"/>
        </w:rPr>
      </w:pPr>
      <w:r>
        <w:rPr>
          <w:rFonts w:eastAsia="Times New Roman"/>
        </w:rPr>
        <w:t xml:space="preserve">Место нахождения: </w:t>
      </w:r>
      <w:r>
        <w:rPr>
          <w:rFonts w:eastAsia="Times New Roman"/>
          <w:b/>
          <w:bCs/>
          <w:i/>
          <w:iCs/>
        </w:rPr>
        <w:t>Российская Федерация, г. Москва, Большой Кисловский переулок, дом 13</w:t>
      </w:r>
    </w:p>
    <w:p w:rsidR="00617D43" w:rsidRDefault="00617D43" w:rsidP="00554456">
      <w:pPr>
        <w:ind w:firstLine="540"/>
        <w:jc w:val="both"/>
        <w:rPr>
          <w:rFonts w:eastAsia="Times New Roman"/>
        </w:rPr>
      </w:pPr>
      <w:r>
        <w:rPr>
          <w:rFonts w:eastAsia="Times New Roman"/>
        </w:rPr>
        <w:t xml:space="preserve">Почтовый адрес: </w:t>
      </w:r>
      <w:r>
        <w:rPr>
          <w:rFonts w:eastAsia="Times New Roman"/>
          <w:b/>
          <w:bCs/>
          <w:i/>
          <w:iCs/>
        </w:rPr>
        <w:t>Российская Федерация, 125009, г. Москва, Большой Кисловский переулок, дом 13</w:t>
      </w:r>
    </w:p>
    <w:p w:rsidR="00617D43" w:rsidRDefault="00617D43" w:rsidP="00554456">
      <w:pPr>
        <w:ind w:firstLine="540"/>
        <w:jc w:val="both"/>
        <w:rPr>
          <w:rFonts w:eastAsia="Times New Roman"/>
        </w:rPr>
      </w:pPr>
      <w:r>
        <w:rPr>
          <w:rFonts w:eastAsia="Times New Roman"/>
        </w:rPr>
        <w:t>Номер лицензии биржи:</w:t>
      </w:r>
      <w:r>
        <w:rPr>
          <w:rFonts w:eastAsia="Times New Roman"/>
          <w:b/>
          <w:bCs/>
          <w:i/>
          <w:iCs/>
        </w:rPr>
        <w:t>077-001</w:t>
      </w:r>
    </w:p>
    <w:p w:rsidR="00617D43" w:rsidRDefault="00617D43" w:rsidP="00554456">
      <w:pPr>
        <w:ind w:firstLine="540"/>
        <w:jc w:val="both"/>
        <w:rPr>
          <w:rFonts w:eastAsia="Times New Roman"/>
        </w:rPr>
      </w:pPr>
      <w:r>
        <w:rPr>
          <w:rFonts w:eastAsia="Times New Roman"/>
        </w:rPr>
        <w:t>Дата выдачи:</w:t>
      </w:r>
      <w:r>
        <w:rPr>
          <w:rFonts w:eastAsia="Times New Roman"/>
          <w:b/>
          <w:bCs/>
          <w:i/>
          <w:iCs/>
        </w:rPr>
        <w:t xml:space="preserve"> 29.08.2013</w:t>
      </w:r>
    </w:p>
    <w:p w:rsidR="00617D43" w:rsidRDefault="00617D43" w:rsidP="00554456">
      <w:pPr>
        <w:ind w:firstLine="540"/>
        <w:jc w:val="both"/>
        <w:rPr>
          <w:rFonts w:eastAsia="Times New Roman"/>
        </w:rPr>
      </w:pPr>
      <w:r>
        <w:rPr>
          <w:rFonts w:eastAsia="Times New Roman"/>
        </w:rPr>
        <w:t>Срок действия:</w:t>
      </w:r>
      <w:r>
        <w:rPr>
          <w:rFonts w:eastAsia="Times New Roman"/>
          <w:b/>
          <w:bCs/>
          <w:i/>
          <w:iCs/>
        </w:rPr>
        <w:t xml:space="preserve"> бессрочная</w:t>
      </w:r>
    </w:p>
    <w:p w:rsidR="00617D43" w:rsidRDefault="00617D43" w:rsidP="00554456">
      <w:pPr>
        <w:ind w:firstLine="540"/>
        <w:jc w:val="both"/>
        <w:rPr>
          <w:rFonts w:eastAsia="Times New Roman"/>
        </w:rPr>
      </w:pPr>
      <w:r>
        <w:rPr>
          <w:rFonts w:eastAsia="Times New Roman"/>
        </w:rPr>
        <w:t>Лицензирующий орган:</w:t>
      </w:r>
      <w:r w:rsidR="00554456">
        <w:rPr>
          <w:rFonts w:eastAsia="Times New Roman"/>
        </w:rPr>
        <w:t xml:space="preserve"> </w:t>
      </w:r>
      <w:r>
        <w:rPr>
          <w:rFonts w:eastAsia="Times New Roman"/>
          <w:b/>
          <w:bCs/>
          <w:i/>
          <w:iCs/>
        </w:rPr>
        <w:t xml:space="preserve">ФСФР России </w:t>
      </w:r>
    </w:p>
    <w:p w:rsidR="00617D43" w:rsidRPr="00554456" w:rsidRDefault="00617D43" w:rsidP="00554456">
      <w:pPr>
        <w:ind w:firstLine="540"/>
        <w:jc w:val="both"/>
        <w:divId w:val="1977225192"/>
        <w:rPr>
          <w:rFonts w:eastAsia="Times New Roman"/>
          <w:b/>
          <w:bCs/>
          <w:i/>
          <w:iCs/>
        </w:rPr>
      </w:pP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 </w:t>
      </w:r>
    </w:p>
    <w:p w:rsidR="00617D43" w:rsidRPr="00554456" w:rsidRDefault="00617D43" w:rsidP="00554456">
      <w:pPr>
        <w:ind w:firstLine="540"/>
        <w:jc w:val="both"/>
        <w:divId w:val="1977225192"/>
        <w:rPr>
          <w:rFonts w:eastAsia="Times New Roman"/>
          <w:b/>
          <w:bCs/>
          <w:i/>
          <w:iCs/>
        </w:rPr>
      </w:pP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w:t>
      </w:r>
    </w:p>
    <w:p w:rsidR="00617D43" w:rsidRPr="00554456" w:rsidRDefault="00617D43" w:rsidP="00554456">
      <w:pPr>
        <w:ind w:firstLine="540"/>
        <w:jc w:val="both"/>
        <w:divId w:val="1977225192"/>
        <w:rPr>
          <w:rFonts w:eastAsia="Times New Roman"/>
          <w:b/>
          <w:bCs/>
          <w:i/>
          <w:iCs/>
        </w:rPr>
      </w:pP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rsidR="00617D43" w:rsidRDefault="00617D43">
      <w:pPr>
        <w:ind w:firstLine="540"/>
        <w:jc w:val="both"/>
        <w:divId w:val="1977225192"/>
        <w:rPr>
          <w:rFonts w:eastAsia="Times New Roman"/>
        </w:rPr>
      </w:pPr>
    </w:p>
    <w:p w:rsidR="00617D43" w:rsidRDefault="00617D43" w:rsidP="003C7F17">
      <w:pPr>
        <w:ind w:firstLine="540"/>
        <w:jc w:val="both"/>
        <w:divId w:val="1977225192"/>
        <w:rPr>
          <w:rFonts w:eastAsia="Times New Roman"/>
        </w:rPr>
      </w:pPr>
      <w:r>
        <w:rPr>
          <w:rFonts w:eastAsia="Times New Roman"/>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rsidR="00617D43" w:rsidRDefault="00617D43">
      <w:pPr>
        <w:ind w:firstLine="540"/>
        <w:jc w:val="both"/>
        <w:divId w:val="1977225192"/>
        <w:rPr>
          <w:rFonts w:eastAsia="Times New Roman"/>
        </w:rPr>
      </w:pPr>
      <w:r>
        <w:rPr>
          <w:rFonts w:eastAsia="Times New Roman"/>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rsidR="00617D43" w:rsidRDefault="00617D43">
      <w:pPr>
        <w:ind w:firstLine="540"/>
        <w:jc w:val="both"/>
        <w:divId w:val="1977225192"/>
        <w:rPr>
          <w:rFonts w:eastAsia="Times New Roman"/>
        </w:rPr>
      </w:pPr>
      <w:r>
        <w:rPr>
          <w:rFonts w:eastAsia="Times New Roman"/>
          <w:b/>
          <w:bCs/>
          <w:i/>
          <w:iCs/>
        </w:rPr>
        <w:t xml:space="preserve">Решение о форме размещения Биржевых облигаций принимается уполномоченным органом управления Эмитента. </w:t>
      </w:r>
    </w:p>
    <w:p w:rsidR="00617D43" w:rsidRDefault="00617D43" w:rsidP="003C7F17">
      <w:pPr>
        <w:ind w:firstLine="540"/>
        <w:jc w:val="both"/>
        <w:divId w:val="1977225192"/>
        <w:rPr>
          <w:rFonts w:eastAsia="Times New Roman"/>
        </w:rPr>
      </w:pPr>
      <w:r>
        <w:rPr>
          <w:rFonts w:eastAsia="Times New Roman"/>
          <w:b/>
          <w:bCs/>
          <w:i/>
          <w:iCs/>
        </w:rPr>
        <w:t xml:space="preserve">Информация о выбранной форме размещения Биржевых облигаций будет раскрыта Эмитентом в порядке, предусмотренном п. 11 Программы и п. 8.11 Проспекта, </w:t>
      </w:r>
      <w:r w:rsidRPr="003C7F17">
        <w:rPr>
          <w:rFonts w:eastAsia="Times New Roman"/>
          <w:b/>
          <w:bCs/>
          <w:i/>
          <w:iCs/>
          <w:u w:val="single"/>
        </w:rPr>
        <w:t>либо будет указана в соответствующих Условиях выпуска.</w:t>
      </w:r>
    </w:p>
    <w:p w:rsidR="00617D43" w:rsidRPr="00554456" w:rsidRDefault="002C45BD" w:rsidP="00554456">
      <w:pPr>
        <w:ind w:firstLine="540"/>
        <w:jc w:val="both"/>
        <w:divId w:val="1977225192"/>
        <w:rPr>
          <w:rFonts w:eastAsia="Times New Roman"/>
          <w:b/>
          <w:bCs/>
          <w:i/>
          <w:iCs/>
        </w:rPr>
      </w:pPr>
      <w:r w:rsidRPr="00554456">
        <w:rPr>
          <w:rFonts w:eastAsia="Times New Roman"/>
          <w:b/>
          <w:bCs/>
          <w:i/>
          <w:iCs/>
        </w:rPr>
        <w:t xml:space="preserve">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В случае если информация о выбранной форме размещения Биржевых облигаций не указана в Условиях выпуска, Эмитент информирует Биржу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 </w:t>
      </w:r>
    </w:p>
    <w:p w:rsidR="00617D43" w:rsidRPr="00554456" w:rsidRDefault="002C45BD" w:rsidP="00554456">
      <w:pPr>
        <w:ind w:firstLine="540"/>
        <w:jc w:val="both"/>
        <w:divId w:val="1977225192"/>
        <w:rPr>
          <w:rFonts w:eastAsia="Times New Roman"/>
          <w:b/>
          <w:bCs/>
          <w:i/>
          <w:iCs/>
        </w:rPr>
      </w:pPr>
      <w:r w:rsidRPr="00554456">
        <w:rPr>
          <w:rFonts w:eastAsia="Times New Roman"/>
          <w:b/>
          <w:bCs/>
          <w:i/>
          <w:iCs/>
        </w:rPr>
        <w:t xml:space="preserve">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1) Размещение Биржевых облигаций в форме Конкурса: </w:t>
      </w:r>
    </w:p>
    <w:p w:rsidR="00617D43" w:rsidRPr="00554456" w:rsidRDefault="002C45BD" w:rsidP="00554456">
      <w:pPr>
        <w:ind w:firstLine="540"/>
        <w:jc w:val="both"/>
        <w:divId w:val="1977225192"/>
        <w:rPr>
          <w:rFonts w:eastAsia="Times New Roman"/>
          <w:b/>
          <w:bCs/>
          <w:i/>
          <w:iCs/>
        </w:rPr>
      </w:pPr>
      <w:r w:rsidRPr="00554456">
        <w:rPr>
          <w:rFonts w:eastAsia="Times New Roman"/>
          <w:b/>
          <w:bCs/>
          <w:i/>
          <w:iCs/>
        </w:rPr>
        <w:t xml:space="preserve">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w:t>
      </w:r>
      <w:r w:rsidRPr="00554456">
        <w:rPr>
          <w:rFonts w:eastAsia="Times New Roman"/>
          <w:b/>
          <w:bCs/>
          <w:i/>
          <w:iCs/>
        </w:rPr>
        <w:lastRenderedPageBreak/>
        <w:t xml:space="preserve">поручению потенциальных покупателей. Время и порядок подачи заявок на Конкурс устанавливается Биржей по согласованию с Эмитентом или Андеррайтером (в случае его назначения) (как определено ниже).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Заявки на приобретение Биржевых облигаций направляются Участниками торгов в адрес Эмитента или Андеррайтера (в случае его назначения).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Заявка на приобретение должна содержать следующие значимые условия: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w:t>
      </w:r>
      <w:r w:rsidR="002C45BD" w:rsidRPr="00554456">
        <w:rPr>
          <w:b/>
          <w:bCs/>
          <w:i/>
          <w:iCs/>
        </w:rPr>
        <w:t xml:space="preserve"> </w:t>
      </w:r>
      <w:r w:rsidRPr="00554456">
        <w:rPr>
          <w:rFonts w:eastAsia="Times New Roman"/>
          <w:b/>
          <w:bCs/>
          <w:i/>
          <w:iCs/>
        </w:rPr>
        <w:t>цена приобретения;</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w:t>
      </w:r>
      <w:r w:rsidR="002C45BD" w:rsidRPr="00554456">
        <w:rPr>
          <w:b/>
          <w:bCs/>
          <w:i/>
          <w:iCs/>
        </w:rPr>
        <w:t xml:space="preserve"> </w:t>
      </w:r>
      <w:r w:rsidRPr="00554456">
        <w:rPr>
          <w:rFonts w:eastAsia="Times New Roman"/>
          <w:b/>
          <w:bCs/>
          <w:i/>
          <w:iCs/>
        </w:rPr>
        <w:t>количество Биржевых облигаций;</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w:t>
      </w:r>
      <w:r w:rsidR="002C45BD" w:rsidRPr="00554456">
        <w:rPr>
          <w:b/>
          <w:bCs/>
          <w:i/>
          <w:iCs/>
        </w:rPr>
        <w:t xml:space="preserve"> </w:t>
      </w:r>
      <w:r w:rsidRPr="00554456">
        <w:rPr>
          <w:rFonts w:eastAsia="Times New Roman"/>
          <w:b/>
          <w:bCs/>
          <w:i/>
          <w:iCs/>
        </w:rPr>
        <w:t>величина процентной ставки купона на первый купонный период;</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w:t>
      </w:r>
      <w:r w:rsidR="002C45BD" w:rsidRPr="00554456">
        <w:rPr>
          <w:b/>
          <w:bCs/>
          <w:i/>
          <w:iCs/>
        </w:rPr>
        <w:t xml:space="preserve"> </w:t>
      </w:r>
      <w:r w:rsidRPr="00554456">
        <w:rPr>
          <w:rFonts w:eastAsia="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w:t>
      </w:r>
      <w:r w:rsidR="002C45BD" w:rsidRPr="00554456">
        <w:rPr>
          <w:b/>
          <w:bCs/>
          <w:i/>
          <w:iCs/>
        </w:rPr>
        <w:t xml:space="preserve"> </w:t>
      </w:r>
      <w:r w:rsidRPr="00554456">
        <w:rPr>
          <w:rFonts w:eastAsia="Times New Roman"/>
          <w:b/>
          <w:bCs/>
          <w:i/>
          <w:iCs/>
        </w:rPr>
        <w:t>прочие параметры в соответствии с Правилами проведения торгов.</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В качестве цены приобретения должна быть указана Цена размещения Биржевых облигаций, установленная Программой (в процентах от номинальной стоимости Биржевых облигаций с точностью до сотой доли процента)</w:t>
      </w:r>
      <w:r w:rsidR="00F01452">
        <w:rPr>
          <w:rFonts w:eastAsia="Times New Roman"/>
          <w:b/>
          <w:bCs/>
          <w:i/>
          <w:iCs/>
        </w:rPr>
        <w:t>.</w:t>
      </w:r>
      <w:r w:rsidRPr="00554456">
        <w:rPr>
          <w:rFonts w:eastAsia="Times New Roman"/>
          <w:b/>
          <w:bCs/>
          <w:i/>
          <w:iCs/>
        </w:rPr>
        <w:t xml:space="preserve">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Программой</w:t>
      </w:r>
      <w:r w:rsidR="00F01452">
        <w:rPr>
          <w:rFonts w:eastAsia="Times New Roman"/>
          <w:b/>
          <w:bCs/>
          <w:i/>
          <w:iCs/>
        </w:rPr>
        <w:t>.</w:t>
      </w:r>
      <w:r w:rsidRPr="00554456">
        <w:rPr>
          <w:rFonts w:eastAsia="Times New Roman"/>
          <w:b/>
          <w:bCs/>
          <w:i/>
          <w:iCs/>
        </w:rPr>
        <w:t xml:space="preserve">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Заявки, не соответствующие изложенным выше требованиям, к участию в Конкурсе не допускаются.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 8.11 Проспекта.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После опубликования в Ленте новостей сообщения о величине процентной ставки купона на первый купонный период, Эмитент информирует Андеррайтера (в случае его назначения) и НРД о величине процентной ставки купона на первый купонный период.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Эмитент или Андеррайтер (в случае его назначения)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w:t>
      </w:r>
      <w:r w:rsidRPr="00554456">
        <w:rPr>
          <w:rFonts w:eastAsia="Times New Roman"/>
          <w:b/>
          <w:bCs/>
          <w:i/>
          <w:iCs/>
        </w:rPr>
        <w:lastRenderedPageBreak/>
        <w:t xml:space="preserve">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Поданные заявки на покупку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Приобретение Биржевых облигаций Эмитента в ходе их размещения не может быть осуществлено за счет Эмитента. </w:t>
      </w:r>
    </w:p>
    <w:p w:rsidR="00617D43" w:rsidRPr="00554456" w:rsidRDefault="002C45BD" w:rsidP="00554456">
      <w:pPr>
        <w:ind w:firstLine="540"/>
        <w:jc w:val="both"/>
        <w:divId w:val="1977225192"/>
        <w:rPr>
          <w:rFonts w:eastAsia="Times New Roman"/>
          <w:b/>
          <w:bCs/>
          <w:i/>
          <w:iCs/>
        </w:rPr>
      </w:pPr>
      <w:r w:rsidRPr="00554456">
        <w:rPr>
          <w:rFonts w:eastAsia="Times New Roman"/>
          <w:b/>
          <w:bCs/>
          <w:i/>
          <w:iCs/>
        </w:rPr>
        <w:t xml:space="preserve">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2) Размещение Биржевых облигаций путем Формирования книги заявок: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 (в случае его назначения).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w:t>
      </w:r>
      <w:r w:rsidRPr="00554456">
        <w:rPr>
          <w:rFonts w:eastAsia="Times New Roman"/>
          <w:b/>
          <w:bCs/>
          <w:i/>
          <w:iCs/>
        </w:rPr>
        <w:lastRenderedPageBreak/>
        <w:t xml:space="preserve">при условии, что такие заявки поданы указанными приобретателями в исполнение заключенных с ними Предварительных договоров.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Эмитента или Андеррайтера (в случае его назначения).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Заявка на приобретение должна содержать следующие значимые условия: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w:t>
      </w:r>
      <w:r w:rsidR="002C45BD" w:rsidRPr="00554456">
        <w:rPr>
          <w:b/>
          <w:bCs/>
          <w:i/>
          <w:iCs/>
        </w:rPr>
        <w:t xml:space="preserve"> </w:t>
      </w:r>
      <w:r w:rsidRPr="00554456">
        <w:rPr>
          <w:rFonts w:eastAsia="Times New Roman"/>
          <w:b/>
          <w:bCs/>
          <w:i/>
          <w:iCs/>
        </w:rPr>
        <w:t>цена приобретения;</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w:t>
      </w:r>
      <w:r w:rsidR="002C45BD" w:rsidRPr="00554456">
        <w:rPr>
          <w:b/>
          <w:bCs/>
          <w:i/>
          <w:iCs/>
        </w:rPr>
        <w:t xml:space="preserve"> </w:t>
      </w:r>
      <w:r w:rsidRPr="00554456">
        <w:rPr>
          <w:rFonts w:eastAsia="Times New Roman"/>
          <w:b/>
          <w:bCs/>
          <w:i/>
          <w:iCs/>
        </w:rPr>
        <w:t>количество Биржевых облигаций;</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w:t>
      </w:r>
      <w:r w:rsidR="002C45BD" w:rsidRPr="00554456">
        <w:rPr>
          <w:b/>
          <w:bCs/>
          <w:i/>
          <w:iCs/>
        </w:rPr>
        <w:t xml:space="preserve"> </w:t>
      </w:r>
      <w:r w:rsidRPr="00554456">
        <w:rPr>
          <w:rFonts w:eastAsia="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w:t>
      </w:r>
      <w:r w:rsidR="002C45BD" w:rsidRPr="00554456">
        <w:rPr>
          <w:b/>
          <w:bCs/>
          <w:i/>
          <w:iCs/>
        </w:rPr>
        <w:t xml:space="preserve"> </w:t>
      </w:r>
      <w:r w:rsidRPr="00554456">
        <w:rPr>
          <w:rFonts w:eastAsia="Times New Roman"/>
          <w:b/>
          <w:bCs/>
          <w:i/>
          <w:iCs/>
        </w:rPr>
        <w:t>прочие параметры в соответствии с Правилами проведения торгов.</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В качестве цены приобретения должна быть указана Цена размещения Биржевых облигаций, установленная Программой (в процентах от номинальной стоимости Биржевых облигаций с точностью до сотой доли процента)</w:t>
      </w:r>
      <w:r w:rsidR="00F01452">
        <w:rPr>
          <w:rFonts w:eastAsia="Times New Roman"/>
          <w:b/>
          <w:bCs/>
          <w:i/>
          <w:iCs/>
        </w:rPr>
        <w:t>.</w:t>
      </w:r>
      <w:r w:rsidRPr="00554456">
        <w:rPr>
          <w:rFonts w:eastAsia="Times New Roman"/>
          <w:b/>
          <w:bCs/>
          <w:i/>
          <w:iCs/>
        </w:rPr>
        <w:t xml:space="preserve">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Заявки, не соответствующие изложенным выше требованиям, не принимаются.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Приобретение Биржевых облигаций Эмитента в ходе их размещения не может быть осуществлено за счет Эмитента. </w:t>
      </w:r>
    </w:p>
    <w:p w:rsidR="00617D43" w:rsidRDefault="00617D43">
      <w:pPr>
        <w:ind w:firstLine="540"/>
        <w:jc w:val="both"/>
        <w:divId w:val="1977225192"/>
        <w:rPr>
          <w:rFonts w:eastAsia="Times New Roman"/>
        </w:rPr>
      </w:pPr>
      <w:r>
        <w:rPr>
          <w:rFonts w:eastAsia="Times New Roman"/>
        </w:rPr>
        <w:t> </w:t>
      </w:r>
    </w:p>
    <w:p w:rsidR="00617D43" w:rsidRDefault="00617D43">
      <w:pPr>
        <w:ind w:firstLine="540"/>
        <w:jc w:val="both"/>
        <w:divId w:val="1977225192"/>
        <w:rPr>
          <w:rFonts w:eastAsia="Times New Roman"/>
        </w:rPr>
      </w:pPr>
      <w:r>
        <w:rPr>
          <w:rFonts w:eastAsia="Times New Roman"/>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При размещении Биржевых облигаций путем Формирования книги заявок Эмитент и/или Андеррайтер (в случае его назначения) по поручению Эмитента 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Заключение таких предварительных договоров осуществляется путем акцепта Эмитентом и/или Андеррайтером (в случае его назначения) 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00F01452">
        <w:rPr>
          <w:rFonts w:eastAsia="Times New Roman"/>
          <w:b/>
          <w:bCs/>
          <w:i/>
          <w:iCs/>
        </w:rPr>
        <w:t>.</w:t>
      </w:r>
      <w:r w:rsidRPr="00554456">
        <w:rPr>
          <w:rFonts w:eastAsia="Times New Roman"/>
          <w:b/>
          <w:bCs/>
          <w:i/>
          <w:iCs/>
        </w:rPr>
        <w:t xml:space="preserve">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w:t>
      </w:r>
      <w:r w:rsidRPr="00554456">
        <w:rPr>
          <w:rFonts w:eastAsia="Times New Roman"/>
          <w:b/>
          <w:bCs/>
          <w:i/>
          <w:iCs/>
        </w:rPr>
        <w:lastRenderedPageBreak/>
        <w:t>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календарный день до даты начала размещения Биржевых облигаций.</w:t>
      </w:r>
    </w:p>
    <w:p w:rsidR="00617D43" w:rsidRDefault="00617D43">
      <w:pPr>
        <w:ind w:firstLine="540"/>
        <w:jc w:val="both"/>
        <w:divId w:val="1977225192"/>
        <w:rPr>
          <w:rFonts w:eastAsia="Times New Roman"/>
        </w:rPr>
      </w:pPr>
      <w:r>
        <w:rPr>
          <w:rFonts w:eastAsia="Times New Roman"/>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rsidR="00617D43" w:rsidRPr="003C7F17" w:rsidRDefault="00617D43" w:rsidP="003C7F17">
      <w:pPr>
        <w:ind w:firstLine="540"/>
        <w:jc w:val="both"/>
        <w:divId w:val="1977225192"/>
        <w:rPr>
          <w:b/>
          <w:bCs/>
          <w:i/>
          <w:iCs/>
        </w:rPr>
      </w:pPr>
      <w:r w:rsidRPr="003C7F17">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002C45BD" w:rsidRPr="003C7F17">
        <w:rPr>
          <w:b/>
          <w:bCs/>
          <w:i/>
          <w:iCs/>
        </w:rPr>
        <w:t xml:space="preserve"> </w:t>
      </w:r>
      <w:r w:rsidRPr="003C7F17">
        <w:rPr>
          <w:b/>
          <w:bCs/>
          <w:i/>
          <w:iCs/>
        </w:rPr>
        <w:t xml:space="preserve">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Информация об этом раскрывается в порядке и сроки, указанные в п. 11. Программы и п.8.11 Проспекта.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 и п.8.11 Проспекта.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Основные договоры купли-продажи Биржевых облигаций заключаются в порядке, указанном выше в настоящем пункте.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Pr>
          <w:rFonts w:eastAsia="Times New Roman"/>
          <w:b/>
          <w:bCs/>
          <w:i/>
          <w:iCs/>
        </w:rPr>
        <w:t>возможность преимущественного приобретения размещаемых Биржевых облигаций не установлена.</w:t>
      </w:r>
    </w:p>
    <w:p w:rsidR="00617D43" w:rsidRDefault="00617D43">
      <w:pPr>
        <w:ind w:firstLine="540"/>
        <w:jc w:val="both"/>
        <w:divId w:val="1977225192"/>
        <w:rPr>
          <w:rFonts w:eastAsia="Times New Roman"/>
        </w:rPr>
      </w:pPr>
      <w:r>
        <w:rPr>
          <w:rFonts w:eastAsia="Times New Roman"/>
        </w:rPr>
        <w:t> </w:t>
      </w:r>
    </w:p>
    <w:p w:rsidR="00617D43" w:rsidRDefault="00617D43">
      <w:pPr>
        <w:ind w:firstLine="540"/>
        <w:jc w:val="both"/>
        <w:divId w:val="1977225192"/>
        <w:rPr>
          <w:rFonts w:eastAsia="Times New Roman"/>
        </w:rPr>
      </w:pPr>
      <w:r>
        <w:rPr>
          <w:rFonts w:eastAsia="Times New Roman"/>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Pr>
          <w:rFonts w:eastAsia="Times New Roman"/>
          <w:b/>
          <w:bCs/>
          <w:i/>
          <w:iCs/>
        </w:rPr>
        <w:t>Биржевые облигации, размещаемые в рамках Программы облигаций, не являются именными.</w:t>
      </w:r>
    </w:p>
    <w:p w:rsidR="00617D43" w:rsidRDefault="00617D43">
      <w:pPr>
        <w:ind w:firstLine="540"/>
        <w:jc w:val="both"/>
        <w:divId w:val="1977225192"/>
        <w:rPr>
          <w:rFonts w:eastAsia="Times New Roman"/>
        </w:rPr>
      </w:pPr>
      <w:r>
        <w:rPr>
          <w:rFonts w:eastAsia="Times New Roman"/>
        </w:rPr>
        <w:t> </w:t>
      </w:r>
    </w:p>
    <w:p w:rsidR="00617D43" w:rsidRDefault="00617D43">
      <w:pPr>
        <w:ind w:firstLine="540"/>
        <w:jc w:val="both"/>
        <w:divId w:val="1977225192"/>
        <w:rPr>
          <w:rFonts w:eastAsia="Times New Roman"/>
        </w:rPr>
      </w:pPr>
      <w:r>
        <w:rPr>
          <w:rFonts w:eastAsia="Times New Roman"/>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xml:space="preserve">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 </w:t>
      </w:r>
    </w:p>
    <w:p w:rsidR="00617D43" w:rsidRPr="00554456" w:rsidRDefault="00617D43" w:rsidP="00554456">
      <w:pPr>
        <w:ind w:firstLine="540"/>
        <w:jc w:val="both"/>
        <w:divId w:val="1977225192"/>
        <w:rPr>
          <w:rFonts w:eastAsia="Times New Roman"/>
          <w:b/>
          <w:bCs/>
          <w:i/>
          <w:iCs/>
        </w:rPr>
      </w:pPr>
      <w:r w:rsidRPr="00554456">
        <w:rPr>
          <w:rFonts w:eastAsia="Times New Roman"/>
          <w:b/>
          <w:bCs/>
          <w:i/>
          <w:iCs/>
        </w:rPr>
        <w:t> </w:t>
      </w:r>
    </w:p>
    <w:p w:rsidR="00617D43" w:rsidRDefault="00617D43">
      <w:pPr>
        <w:ind w:firstLine="540"/>
        <w:jc w:val="both"/>
        <w:divId w:val="1977225192"/>
        <w:rPr>
          <w:rFonts w:eastAsia="Times New Roman"/>
        </w:rPr>
      </w:pPr>
      <w:r>
        <w:rPr>
          <w:rFonts w:eastAsia="Times New Roman"/>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Pr>
          <w:rFonts w:eastAsia="Times New Roman"/>
          <w:b/>
          <w:bCs/>
          <w:i/>
          <w:iCs/>
        </w:rPr>
        <w:t>по Биржевым облигациям предусмотрено обязательное централизованное хранение.</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lastRenderedPageBreak/>
        <w:t>Размещение ценных бумаг может осуществляется эмитентом с привлечением брокеров, оказывающих эмитенту услуги по размещению и по организации размещения ценных бумаг:</w:t>
      </w:r>
    </w:p>
    <w:p w:rsidR="00617D43" w:rsidRDefault="00617D43">
      <w:pPr>
        <w:ind w:firstLine="540"/>
        <w:jc w:val="both"/>
        <w:divId w:val="1977225192"/>
        <w:rPr>
          <w:rFonts w:eastAsia="Times New Roman"/>
        </w:rPr>
      </w:pPr>
    </w:p>
    <w:p w:rsidR="00617D43" w:rsidRPr="002C45BD" w:rsidRDefault="00617D43" w:rsidP="002C45BD">
      <w:pPr>
        <w:ind w:firstLine="540"/>
        <w:jc w:val="both"/>
        <w:divId w:val="1977225192"/>
        <w:rPr>
          <w:rFonts w:eastAsia="Times New Roman"/>
          <w:b/>
          <w:bCs/>
          <w:i/>
          <w:iCs/>
          <w:u w:val="single"/>
        </w:rPr>
      </w:pPr>
      <w:r w:rsidRPr="002C45BD">
        <w:rPr>
          <w:rFonts w:eastAsia="Times New Roman"/>
          <w:b/>
          <w:bCs/>
          <w:i/>
          <w:iCs/>
          <w:u w:val="single"/>
        </w:rPr>
        <w:t xml:space="preserve">Информация об организациях, которые могут оказывать Эмитенту услуги по организации размещения Биржевых облигаций (далее - "Организаторы"), либо указание на то, что такие организации не привлекаются, будет указана в Условиях выпуска. </w:t>
      </w:r>
    </w:p>
    <w:p w:rsidR="00617D43" w:rsidRDefault="00617D43">
      <w:pPr>
        <w:ind w:firstLine="540"/>
        <w:jc w:val="both"/>
        <w:divId w:val="1977225192"/>
        <w:rPr>
          <w:rFonts w:eastAsia="Times New Roman"/>
        </w:rPr>
      </w:pPr>
      <w:r>
        <w:rPr>
          <w:rFonts w:eastAsia="Times New Roman"/>
        </w:rPr>
        <w:t> </w:t>
      </w:r>
    </w:p>
    <w:p w:rsidR="00617D43" w:rsidRDefault="00617D43">
      <w:pPr>
        <w:ind w:firstLine="540"/>
        <w:jc w:val="both"/>
        <w:divId w:val="1977225192"/>
        <w:rPr>
          <w:rFonts w:eastAsia="Times New Roman"/>
        </w:rPr>
      </w:pPr>
      <w:r>
        <w:rPr>
          <w:rFonts w:eastAsia="Times New Roman"/>
          <w:szCs w:val="22"/>
        </w:rPr>
        <w:t>Основные функции Организатора, в том числе:</w:t>
      </w:r>
      <w:r>
        <w:rPr>
          <w:rFonts w:eastAsia="Times New Roman"/>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1.</w:t>
      </w:r>
      <w:r w:rsidR="002C45BD" w:rsidRPr="00907940">
        <w:rPr>
          <w:rFonts w:eastAsia="Times New Roman"/>
          <w:b/>
          <w:bCs/>
          <w:i/>
          <w:iCs/>
        </w:rPr>
        <w:t xml:space="preserve"> </w:t>
      </w:r>
      <w:r w:rsidRPr="00907940">
        <w:rPr>
          <w:rFonts w:eastAsia="Times New Roman"/>
          <w:b/>
          <w:bCs/>
          <w:i/>
          <w:iCs/>
        </w:rPr>
        <w:t xml:space="preserve">разработка параметров, условий Выпуска и размещения Биржевых облигаций;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2.</w:t>
      </w:r>
      <w:r w:rsidR="002C45BD" w:rsidRPr="00907940">
        <w:rPr>
          <w:rFonts w:eastAsia="Times New Roman"/>
          <w:b/>
          <w:bCs/>
          <w:i/>
          <w:iCs/>
        </w:rPr>
        <w:t xml:space="preserve"> </w:t>
      </w:r>
      <w:r w:rsidRPr="00907940">
        <w:rPr>
          <w:rFonts w:eastAsia="Times New Roman"/>
          <w:b/>
          <w:bCs/>
          <w:i/>
          <w:iCs/>
        </w:rPr>
        <w:t xml:space="preserve">подготовка проектов документации, необходимой для размещения и обращения Биржевых облигаций;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3.</w:t>
      </w:r>
      <w:r w:rsidR="002C45BD" w:rsidRPr="00907940">
        <w:rPr>
          <w:rFonts w:eastAsia="Times New Roman"/>
          <w:b/>
          <w:bCs/>
          <w:i/>
          <w:iCs/>
        </w:rPr>
        <w:t xml:space="preserve"> </w:t>
      </w:r>
      <w:r w:rsidRPr="00907940">
        <w:rPr>
          <w:rFonts w:eastAsia="Times New Roman"/>
          <w:b/>
          <w:bCs/>
          <w:i/>
          <w:iCs/>
        </w:rPr>
        <w:t xml:space="preserve">подготовка, организация и проведение маркетинговых и презентационных мероприятий перед размещением Биржевых облигаций;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4.</w:t>
      </w:r>
      <w:r w:rsidR="002C45BD" w:rsidRPr="00907940">
        <w:rPr>
          <w:rFonts w:eastAsia="Times New Roman"/>
          <w:b/>
          <w:bCs/>
          <w:i/>
          <w:iCs/>
        </w:rPr>
        <w:t xml:space="preserve"> </w:t>
      </w:r>
      <w:r w:rsidRPr="00907940">
        <w:rPr>
          <w:rFonts w:eastAsia="Times New Roman"/>
          <w:b/>
          <w:bCs/>
          <w:i/>
          <w:iCs/>
        </w:rPr>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5.</w:t>
      </w:r>
      <w:r w:rsidR="002C45BD" w:rsidRPr="00907940">
        <w:rPr>
          <w:rFonts w:eastAsia="Times New Roman"/>
          <w:b/>
          <w:bCs/>
          <w:i/>
          <w:iCs/>
        </w:rPr>
        <w:t xml:space="preserve"> </w:t>
      </w:r>
      <w:r w:rsidRPr="00907940">
        <w:rPr>
          <w:rFonts w:eastAsia="Times New Roman"/>
          <w:b/>
          <w:bCs/>
          <w:i/>
          <w:iCs/>
        </w:rPr>
        <w:t xml:space="preserve">осуществление иных действий, необходимых для размещения Биржевых облигаций.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Размещение Биржевых облигаций может осуществляться Эмитентом как самостоятельно (в случае, если Эмитент является Участником торгов),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и ранее по тексту - "Андеррайтер"). </w:t>
      </w:r>
    </w:p>
    <w:p w:rsidR="00617D43" w:rsidRPr="00907940" w:rsidRDefault="002C45BD" w:rsidP="00907940">
      <w:pPr>
        <w:ind w:firstLine="540"/>
        <w:jc w:val="both"/>
        <w:divId w:val="1977225192"/>
        <w:rPr>
          <w:rFonts w:eastAsia="Times New Roman"/>
          <w:b/>
          <w:bCs/>
          <w:i/>
          <w:iCs/>
          <w:u w:val="single"/>
        </w:rPr>
      </w:pPr>
      <w:r w:rsidRPr="00907940">
        <w:rPr>
          <w:rFonts w:eastAsia="Times New Roman"/>
          <w:b/>
          <w:bCs/>
          <w:i/>
          <w:iCs/>
          <w:u w:val="single"/>
        </w:rPr>
        <w:t xml:space="preserve"> </w:t>
      </w:r>
    </w:p>
    <w:p w:rsidR="00617D43" w:rsidRPr="002C45BD" w:rsidRDefault="00617D43" w:rsidP="002C45BD">
      <w:pPr>
        <w:ind w:firstLine="540"/>
        <w:jc w:val="both"/>
        <w:divId w:val="1977225192"/>
        <w:rPr>
          <w:rFonts w:eastAsia="Times New Roman"/>
          <w:b/>
          <w:bCs/>
          <w:i/>
          <w:iCs/>
          <w:u w:val="single"/>
        </w:rPr>
      </w:pPr>
      <w:r w:rsidRPr="002C45BD">
        <w:rPr>
          <w:rFonts w:eastAsia="Times New Roman"/>
          <w:b/>
          <w:bCs/>
          <w:i/>
          <w:iCs/>
          <w:u w:val="single"/>
        </w:rPr>
        <w:t xml:space="preserve">Лицо, назначенное Андеррайтером, либо указание на то, что размещение осуществляется Эмитентом самостоятельно, будет указано в соответствующих Условиях выпуска. </w:t>
      </w:r>
    </w:p>
    <w:p w:rsidR="00617D43" w:rsidRPr="00907940" w:rsidRDefault="002C45BD" w:rsidP="00907940">
      <w:pPr>
        <w:ind w:firstLine="540"/>
        <w:jc w:val="both"/>
        <w:divId w:val="1977225192"/>
        <w:rPr>
          <w:rFonts w:eastAsia="Times New Roman"/>
          <w:b/>
          <w:bCs/>
          <w:i/>
          <w:iCs/>
          <w:u w:val="single"/>
        </w:rPr>
      </w:pPr>
      <w:r w:rsidRPr="00907940">
        <w:rPr>
          <w:rFonts w:eastAsia="Times New Roman"/>
          <w:b/>
          <w:bCs/>
          <w:i/>
          <w:iCs/>
          <w:u w:val="single"/>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Решение о назначении Андеррайтера принимается уполномоченным органом управления Эмитента в отношении каждого Выпуска Биржевых облигаций, размещаемого в рамках Программы. </w:t>
      </w:r>
      <w:r w:rsidRPr="00907940">
        <w:rPr>
          <w:rFonts w:eastAsia="Times New Roman"/>
          <w:b/>
          <w:bCs/>
          <w:i/>
          <w:iCs/>
        </w:rPr>
        <w:br/>
        <w:t xml:space="preserve">В случае если решение о назначении Андеррайтера принимается до утверждения Условий выпуска, то информация об этом раскрывается Эмитентом в порядке, предусмотренном в п. 11 Программы и п.8.11 Проспекта.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w:t>
      </w:r>
    </w:p>
    <w:p w:rsidR="00617D43" w:rsidRDefault="00617D43">
      <w:pPr>
        <w:ind w:firstLine="540"/>
        <w:jc w:val="both"/>
        <w:divId w:val="1977225192"/>
        <w:rPr>
          <w:rFonts w:eastAsia="Times New Roman"/>
        </w:rPr>
      </w:pPr>
      <w:r>
        <w:rPr>
          <w:rFonts w:eastAsia="Times New Roman"/>
          <w:szCs w:val="22"/>
        </w:rPr>
        <w:t>Основные функции Андеррайтера (в случае его назначения):</w:t>
      </w:r>
      <w:r>
        <w:rPr>
          <w:rFonts w:eastAsia="Times New Roman"/>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rsidR="00617D43" w:rsidRDefault="00617D43">
      <w:pPr>
        <w:ind w:firstLine="540"/>
        <w:jc w:val="both"/>
        <w:divId w:val="1977225192"/>
        <w:rPr>
          <w:rFonts w:eastAsia="Times New Roman"/>
        </w:rPr>
      </w:pPr>
      <w:r>
        <w:rPr>
          <w:rFonts w:eastAsia="Times New Roman"/>
        </w:rPr>
        <w:t> </w:t>
      </w:r>
    </w:p>
    <w:p w:rsidR="00441F5E" w:rsidRPr="00441F5E" w:rsidRDefault="00617D43" w:rsidP="00441F5E">
      <w:pPr>
        <w:ind w:firstLine="540"/>
        <w:jc w:val="both"/>
        <w:divId w:val="1977225192"/>
        <w:rPr>
          <w:b/>
          <w:bCs/>
          <w:i/>
          <w:iCs/>
          <w:u w:val="single"/>
        </w:rPr>
      </w:pPr>
      <w:r>
        <w:rPr>
          <w:rFonts w:eastAsia="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441F5E" w:rsidRPr="00441F5E">
        <w:rPr>
          <w:b/>
          <w:bCs/>
          <w:i/>
          <w:iCs/>
          <w:szCs w:val="22"/>
          <w:u w:val="single"/>
        </w:rPr>
        <w:t>Сведения о наличии такой обязанности</w:t>
      </w:r>
      <w:r w:rsidR="00441F5E" w:rsidRPr="00441F5E">
        <w:rPr>
          <w:b/>
          <w:bCs/>
          <w:i/>
          <w:iCs/>
          <w:u w:val="single"/>
        </w:rPr>
        <w:t xml:space="preserve"> у лиц, оказывающих услуги по размещению и/или организации размещения ценных бумаг</w:t>
      </w:r>
      <w:r w:rsidR="00441F5E" w:rsidRPr="00441F5E">
        <w:rPr>
          <w:b/>
          <w:bCs/>
          <w:i/>
          <w:iCs/>
          <w:szCs w:val="22"/>
          <w:u w:val="single"/>
        </w:rPr>
        <w:t>, будут указаны</w:t>
      </w:r>
      <w:r w:rsidR="00441F5E" w:rsidRPr="00441F5E">
        <w:rPr>
          <w:b/>
          <w:bCs/>
          <w:i/>
          <w:iCs/>
          <w:u w:val="single"/>
        </w:rPr>
        <w:t xml:space="preserve"> в </w:t>
      </w:r>
      <w:r w:rsidR="00441F5E" w:rsidRPr="00441F5E">
        <w:rPr>
          <w:b/>
          <w:bCs/>
          <w:i/>
          <w:iCs/>
          <w:szCs w:val="22"/>
          <w:u w:val="single"/>
        </w:rPr>
        <w:t>Условиях выпуска</w:t>
      </w:r>
    </w:p>
    <w:p w:rsidR="00617D43" w:rsidRDefault="00617D43" w:rsidP="00441F5E">
      <w:pPr>
        <w:ind w:firstLine="540"/>
        <w:jc w:val="both"/>
        <w:divId w:val="1977225192"/>
        <w:rPr>
          <w:rFonts w:eastAsia="Times New Roman"/>
        </w:rPr>
      </w:pPr>
    </w:p>
    <w:p w:rsidR="00617D43" w:rsidRDefault="00617D43" w:rsidP="00441F5E">
      <w:pPr>
        <w:ind w:firstLine="540"/>
        <w:jc w:val="both"/>
        <w:divId w:val="1977225192"/>
        <w:rPr>
          <w:rFonts w:eastAsia="Times New Roman"/>
        </w:rPr>
      </w:pPr>
      <w:r>
        <w:rPr>
          <w:rFonts w:eastAsia="Times New Roman"/>
        </w:rPr>
        <w:lastRenderedPageBreak/>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441F5E" w:rsidRPr="00441F5E">
        <w:rPr>
          <w:b/>
          <w:bCs/>
          <w:i/>
          <w:iCs/>
          <w:szCs w:val="22"/>
          <w:u w:val="single"/>
        </w:rPr>
        <w:t>Сведения об обязанности у лиц, оказывающих услуги по размещению и/или организации размещения ценных бумаг, связанной</w:t>
      </w:r>
      <w:r w:rsidR="00441F5E" w:rsidRPr="00441F5E">
        <w:rPr>
          <w:b/>
          <w:bCs/>
          <w:i/>
          <w:iCs/>
          <w:u w:val="single"/>
        </w:rPr>
        <w:t xml:space="preserve"> с поддержанием цен на Биржевые облигации на определенном уровне в течение определенного срока после завершения их размещения (стабилизация), </w:t>
      </w:r>
      <w:r w:rsidR="00441F5E" w:rsidRPr="00441F5E">
        <w:rPr>
          <w:b/>
          <w:bCs/>
          <w:i/>
          <w:iCs/>
          <w:szCs w:val="22"/>
          <w:u w:val="single"/>
        </w:rPr>
        <w:t>будут указаны в Условиях выпуска</w:t>
      </w:r>
      <w:r w:rsidR="00441F5E" w:rsidRPr="00441F5E">
        <w:rPr>
          <w:b/>
          <w:bCs/>
          <w:i/>
          <w:iCs/>
          <w:u w:val="single"/>
        </w:rPr>
        <w:t>.</w:t>
      </w:r>
    </w:p>
    <w:p w:rsidR="00617D43" w:rsidRDefault="00617D43">
      <w:pPr>
        <w:ind w:firstLine="540"/>
        <w:jc w:val="both"/>
        <w:divId w:val="1977225192"/>
        <w:rPr>
          <w:rFonts w:eastAsia="Times New Roman"/>
        </w:rPr>
      </w:pPr>
      <w:r>
        <w:rPr>
          <w:rFonts w:eastAsia="Times New Roman"/>
        </w:rPr>
        <w:t> </w:t>
      </w:r>
    </w:p>
    <w:p w:rsidR="00617D43" w:rsidRDefault="00617D43">
      <w:pPr>
        <w:ind w:firstLine="540"/>
        <w:jc w:val="both"/>
        <w:divId w:val="1977225192"/>
        <w:rPr>
          <w:rFonts w:eastAsia="Times New Roman"/>
        </w:rPr>
      </w:pPr>
      <w:r>
        <w:rPr>
          <w:rFonts w:eastAsia="Times New Roman"/>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Pr>
          <w:rFonts w:eastAsia="Times New Roman"/>
          <w:b/>
          <w:bCs/>
          <w:i/>
          <w:iCs/>
        </w:rPr>
        <w:t>Не предусмотрено.</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Pr>
          <w:rFonts w:eastAsia="Times New Roman"/>
          <w:b/>
          <w:bCs/>
          <w:i/>
          <w:iCs/>
        </w:rPr>
        <w:t xml:space="preserve">размер вознаграждения лиц, оказывающих услуги по размещению и/или организации размещения ценных бумаг, в совокупности не превысит 1% (Одного процента) от номинальной стоимости каждого Выпуска Биржевых облигаций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Pr>
          <w:rFonts w:eastAsia="Times New Roman"/>
          <w:b/>
          <w:bCs/>
          <w:i/>
          <w:iCs/>
        </w:rPr>
        <w:t>Не планируется.</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Pr>
          <w:rFonts w:eastAsia="Times New Roman"/>
          <w:b/>
          <w:bCs/>
          <w:i/>
          <w:iCs/>
        </w:rPr>
        <w:t>Не планируется.</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Pr>
          <w:rFonts w:eastAsia="Times New Roman"/>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rsidR="00617D43" w:rsidRDefault="00617D43" w:rsidP="00907940">
      <w:pPr>
        <w:ind w:firstLine="540"/>
        <w:jc w:val="both"/>
        <w:rPr>
          <w:rFonts w:eastAsia="Times New Roman"/>
        </w:rPr>
      </w:pPr>
    </w:p>
    <w:p w:rsidR="00617D43" w:rsidRDefault="00617D43">
      <w:pPr>
        <w:ind w:firstLine="540"/>
        <w:jc w:val="both"/>
        <w:divId w:val="1977225192"/>
        <w:rPr>
          <w:rFonts w:eastAsia="Times New Roman"/>
        </w:rPr>
      </w:pPr>
      <w:r>
        <w:rPr>
          <w:rFonts w:eastAsia="Times New Roman"/>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Pr>
          <w:rFonts w:eastAsia="Times New Roman"/>
          <w:b/>
          <w:bCs/>
          <w:i/>
          <w:iCs/>
        </w:rPr>
        <w:t>такое предварительное согласование не требуется.</w:t>
      </w:r>
    </w:p>
    <w:p w:rsidR="00617D43" w:rsidRDefault="00617D43" w:rsidP="00907940">
      <w:pPr>
        <w:pStyle w:val="StyleBoldJustifiedFirstline095cm"/>
        <w:divId w:val="1977225192"/>
      </w:pPr>
      <w:r>
        <w:t xml:space="preserve">8.4. Цена (цены) или порядок определения цены размещения облигаций в рамках программы облигаций: </w:t>
      </w:r>
    </w:p>
    <w:p w:rsidR="00617D43" w:rsidRDefault="00617D43">
      <w:pPr>
        <w:ind w:firstLine="540"/>
        <w:jc w:val="both"/>
        <w:divId w:val="1977225192"/>
        <w:rPr>
          <w:rFonts w:eastAsia="Times New Roman"/>
        </w:rPr>
      </w:pPr>
      <w:r>
        <w:rPr>
          <w:rFonts w:eastAsia="Times New Roman"/>
        </w:rPr>
        <w:t>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w:t>
      </w:r>
    </w:p>
    <w:p w:rsidR="00617D43" w:rsidRDefault="00617D43">
      <w:pPr>
        <w:ind w:firstLine="540"/>
        <w:jc w:val="both"/>
        <w:divId w:val="1977225192"/>
        <w:rPr>
          <w:rFonts w:eastAsia="Times New Roman"/>
        </w:rPr>
      </w:pP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Цена размещения Биржевых облигаций устанавливается равной 100% от номинальной стоимости Биржевой облигации. </w:t>
      </w:r>
    </w:p>
    <w:p w:rsidR="00617D43" w:rsidRPr="002C45BD" w:rsidRDefault="00617D43" w:rsidP="002C45BD">
      <w:pPr>
        <w:ind w:firstLine="540"/>
        <w:jc w:val="both"/>
        <w:divId w:val="1977225192"/>
        <w:rPr>
          <w:rFonts w:eastAsia="Times New Roman"/>
          <w:b/>
          <w:bCs/>
          <w:i/>
          <w:iCs/>
          <w:u w:val="single"/>
        </w:rPr>
      </w:pPr>
      <w:r w:rsidRPr="002C45BD">
        <w:rPr>
          <w:rFonts w:eastAsia="Times New Roman"/>
          <w:b/>
          <w:bCs/>
          <w:i/>
          <w:iCs/>
          <w:u w:val="single"/>
        </w:rPr>
        <w:t xml:space="preserve">Номинальная стоимость Биржевых облигаций, размещаемых в рамках Программы облигаций, будет установлена в соответствующих Условиях выпуска.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lastRenderedPageBreak/>
        <w:t xml:space="preserve">Начиная со второго дня размещения Биржевых облигаций (в случае, если размещение длится более одного дня),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Программы. </w:t>
      </w:r>
    </w:p>
    <w:p w:rsidR="00617D43" w:rsidRDefault="00617D43" w:rsidP="00907940">
      <w:pPr>
        <w:pStyle w:val="StyleBoldJustifiedFirstline095cm"/>
        <w:divId w:val="1977225192"/>
      </w:pPr>
      <w:r>
        <w:t xml:space="preserve">8.5. Условия и порядок оплаты облигаций, которые могут быть размещены в рамках программы облигаций: </w:t>
      </w:r>
    </w:p>
    <w:p w:rsidR="00617D43" w:rsidRDefault="00617D43">
      <w:pPr>
        <w:ind w:firstLine="540"/>
        <w:jc w:val="both"/>
        <w:divId w:val="1977225192"/>
        <w:rPr>
          <w:rFonts w:eastAsia="Times New Roman"/>
        </w:rPr>
      </w:pPr>
      <w:r>
        <w:rPr>
          <w:rFonts w:eastAsia="Times New Roman"/>
        </w:rPr>
        <w:t>Приводятся условия и порядок оплаты облигаций, которые могут быть размещены в рамках программы облигаций, либо указывается на то, что такие условия и порядок в условиях программы облигаций не определяются.</w:t>
      </w:r>
    </w:p>
    <w:p w:rsidR="00617D43" w:rsidRDefault="00617D43">
      <w:pPr>
        <w:ind w:firstLine="540"/>
        <w:jc w:val="both"/>
        <w:divId w:val="1977225192"/>
        <w:rPr>
          <w:rFonts w:eastAsia="Times New Roman"/>
        </w:rPr>
      </w:pP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в которой выражена номинальная стоимость Биржевой облигации.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rsidR="00617D43" w:rsidRDefault="00617D43">
      <w:pPr>
        <w:ind w:firstLine="540"/>
        <w:jc w:val="both"/>
        <w:divId w:val="1977225192"/>
        <w:rPr>
          <w:rFonts w:eastAsia="Times New Roman"/>
        </w:rPr>
      </w:pPr>
    </w:p>
    <w:p w:rsidR="00617D43" w:rsidRDefault="00617D43" w:rsidP="00617D43">
      <w:pPr>
        <w:ind w:firstLine="540"/>
        <w:jc w:val="both"/>
        <w:divId w:val="1977225192"/>
        <w:rPr>
          <w:rFonts w:eastAsia="Times New Roman"/>
        </w:rPr>
      </w:pPr>
      <w:r>
        <w:rPr>
          <w:rFonts w:eastAsia="Times New Roman"/>
        </w:rPr>
        <w:t xml:space="preserve">Полное фирменное наименование: </w:t>
      </w:r>
      <w:r>
        <w:rPr>
          <w:rFonts w:eastAsia="Times New Roman"/>
          <w:b/>
          <w:bCs/>
          <w:i/>
          <w:iCs/>
        </w:rPr>
        <w:t>Небанковская кредитная организация акционерное общество "Национальный расчетный депозитарий"</w:t>
      </w:r>
    </w:p>
    <w:p w:rsidR="00617D43" w:rsidRDefault="00617D43" w:rsidP="00617D43">
      <w:pPr>
        <w:ind w:firstLine="540"/>
        <w:jc w:val="both"/>
        <w:divId w:val="1977225192"/>
        <w:rPr>
          <w:rFonts w:eastAsia="Times New Roman"/>
        </w:rPr>
      </w:pPr>
      <w:r>
        <w:rPr>
          <w:rFonts w:eastAsia="Times New Roman"/>
        </w:rPr>
        <w:t xml:space="preserve">Сокращенное фирменное наименование: </w:t>
      </w:r>
      <w:r>
        <w:rPr>
          <w:rFonts w:eastAsia="Times New Roman"/>
          <w:b/>
          <w:bCs/>
          <w:i/>
          <w:iCs/>
        </w:rPr>
        <w:t>НКО АО НРД</w:t>
      </w:r>
    </w:p>
    <w:p w:rsidR="00617D43" w:rsidRDefault="00617D43" w:rsidP="00617D43">
      <w:pPr>
        <w:ind w:firstLine="540"/>
        <w:jc w:val="both"/>
        <w:divId w:val="1977225192"/>
        <w:rPr>
          <w:rFonts w:eastAsia="Times New Roman"/>
        </w:rPr>
      </w:pPr>
      <w:r>
        <w:rPr>
          <w:rFonts w:eastAsia="Times New Roman"/>
        </w:rPr>
        <w:t xml:space="preserve">Место нахождения: </w:t>
      </w:r>
      <w:r>
        <w:rPr>
          <w:rFonts w:eastAsia="Times New Roman"/>
          <w:b/>
          <w:bCs/>
          <w:i/>
          <w:iCs/>
        </w:rPr>
        <w:t>город Москва, улица Спартаковская, дом 12</w:t>
      </w:r>
    </w:p>
    <w:p w:rsidR="00617D43" w:rsidRDefault="00617D43" w:rsidP="00617D43">
      <w:pPr>
        <w:ind w:firstLine="540"/>
        <w:jc w:val="both"/>
        <w:divId w:val="1977225192"/>
        <w:rPr>
          <w:rFonts w:eastAsia="Times New Roman"/>
        </w:rPr>
      </w:pPr>
      <w:r>
        <w:rPr>
          <w:rFonts w:eastAsia="Times New Roman"/>
        </w:rPr>
        <w:t xml:space="preserve">Почтовый адрес: </w:t>
      </w:r>
      <w:r>
        <w:rPr>
          <w:rFonts w:eastAsia="Times New Roman"/>
          <w:b/>
          <w:bCs/>
          <w:i/>
          <w:iCs/>
        </w:rPr>
        <w:t>105066, г. Москва, ул. Спартаковская, дом 12</w:t>
      </w:r>
    </w:p>
    <w:p w:rsidR="00617D43" w:rsidRDefault="00617D43" w:rsidP="00617D43">
      <w:pPr>
        <w:ind w:firstLine="540"/>
        <w:jc w:val="both"/>
        <w:divId w:val="1977225192"/>
        <w:rPr>
          <w:rFonts w:eastAsia="Times New Roman"/>
        </w:rPr>
      </w:pPr>
      <w:r>
        <w:rPr>
          <w:rFonts w:eastAsia="Times New Roman"/>
        </w:rPr>
        <w:t xml:space="preserve">Номер лицензии на право осуществления банковских операций: </w:t>
      </w:r>
      <w:r>
        <w:rPr>
          <w:rFonts w:eastAsia="Times New Roman"/>
          <w:b/>
          <w:bCs/>
          <w:i/>
          <w:iCs/>
        </w:rPr>
        <w:t>№ 3294</w:t>
      </w:r>
    </w:p>
    <w:p w:rsidR="00617D43" w:rsidRDefault="00617D43" w:rsidP="00617D43">
      <w:pPr>
        <w:ind w:firstLine="540"/>
        <w:jc w:val="both"/>
        <w:divId w:val="1977225192"/>
        <w:rPr>
          <w:rFonts w:eastAsia="Times New Roman"/>
        </w:rPr>
      </w:pPr>
      <w:r>
        <w:rPr>
          <w:rFonts w:eastAsia="Times New Roman"/>
        </w:rPr>
        <w:t xml:space="preserve">Срок действия: </w:t>
      </w:r>
      <w:r>
        <w:rPr>
          <w:rFonts w:eastAsia="Times New Roman"/>
          <w:b/>
          <w:bCs/>
          <w:i/>
          <w:iCs/>
        </w:rPr>
        <w:t>без ограничения срока действия</w:t>
      </w:r>
    </w:p>
    <w:p w:rsidR="00617D43" w:rsidRDefault="00617D43" w:rsidP="00617D43">
      <w:pPr>
        <w:ind w:firstLine="540"/>
        <w:jc w:val="both"/>
        <w:divId w:val="1977225192"/>
        <w:rPr>
          <w:rFonts w:eastAsia="Times New Roman"/>
        </w:rPr>
      </w:pPr>
      <w:r>
        <w:rPr>
          <w:rFonts w:eastAsia="Times New Roman"/>
        </w:rPr>
        <w:t xml:space="preserve">Дата выдачи: </w:t>
      </w:r>
      <w:r>
        <w:rPr>
          <w:rFonts w:eastAsia="Times New Roman"/>
          <w:b/>
          <w:bCs/>
          <w:i/>
          <w:iCs/>
        </w:rPr>
        <w:t>4 августа 2016 года</w:t>
      </w:r>
    </w:p>
    <w:p w:rsidR="00617D43" w:rsidRDefault="00617D43" w:rsidP="00617D43">
      <w:pPr>
        <w:ind w:firstLine="540"/>
        <w:jc w:val="both"/>
        <w:divId w:val="1977225192"/>
        <w:rPr>
          <w:rFonts w:eastAsia="Times New Roman"/>
        </w:rPr>
      </w:pPr>
      <w:r>
        <w:rPr>
          <w:rFonts w:eastAsia="Times New Roman"/>
        </w:rPr>
        <w:t xml:space="preserve">Орган, выдавший указанную лицензию: </w:t>
      </w:r>
      <w:r>
        <w:rPr>
          <w:rFonts w:eastAsia="Times New Roman"/>
          <w:b/>
          <w:bCs/>
          <w:i/>
          <w:iCs/>
        </w:rPr>
        <w:t>Банк России</w:t>
      </w:r>
    </w:p>
    <w:p w:rsidR="00617D43" w:rsidRDefault="00617D43">
      <w:pPr>
        <w:ind w:firstLine="540"/>
        <w:jc w:val="both"/>
        <w:divId w:val="1977225192"/>
        <w:rPr>
          <w:rFonts w:eastAsia="Times New Roman"/>
        </w:rPr>
      </w:pPr>
      <w:r>
        <w:rPr>
          <w:rFonts w:eastAsia="Times New Roman"/>
        </w:rPr>
        <w:t>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Оплата ценных бумаг неденежными средствами не предусмотрена.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Возможность рассрочки при оплате ценных бумаг не предусмотрена.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Андеррайтер (в случае его назначения)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 </w:t>
      </w:r>
    </w:p>
    <w:p w:rsidR="00617D43" w:rsidRPr="002C45BD" w:rsidRDefault="00617D43" w:rsidP="002C45BD">
      <w:pPr>
        <w:ind w:firstLine="540"/>
        <w:jc w:val="both"/>
        <w:divId w:val="1977225192"/>
        <w:rPr>
          <w:rFonts w:eastAsia="Times New Roman"/>
          <w:b/>
          <w:bCs/>
          <w:i/>
          <w:iCs/>
          <w:u w:val="single"/>
        </w:rPr>
      </w:pPr>
      <w:r w:rsidRPr="002C45BD">
        <w:rPr>
          <w:rFonts w:eastAsia="Times New Roman"/>
          <w:b/>
          <w:bCs/>
          <w:i/>
          <w:iCs/>
          <w:u w:val="single"/>
        </w:rPr>
        <w:t xml:space="preserve">Реквизиты счетов НРД, а также реквизиты счета (Эмитента или Андеррайтера (в случае его назначения)), на который должны перечисляться денежные средства, поступающие в оплату ценных бумаг, будут указаны в Условиях выпуска. </w:t>
      </w:r>
    </w:p>
    <w:p w:rsidR="00617D43" w:rsidRDefault="00617D43" w:rsidP="00907940">
      <w:pPr>
        <w:pStyle w:val="StyleBoldJustifiedFirstline095cm"/>
        <w:divId w:val="1977225192"/>
      </w:pPr>
      <w:r>
        <w:t xml:space="preserve">8.6.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 </w:t>
      </w:r>
    </w:p>
    <w:p w:rsidR="00617D43" w:rsidRPr="00617D43" w:rsidRDefault="00617D43" w:rsidP="00617D43">
      <w:pPr>
        <w:pStyle w:val="StyleBoldJustifiedFirstline095cm"/>
        <w:divId w:val="1977225192"/>
      </w:pPr>
      <w:r w:rsidRPr="00617D43">
        <w:t>9. Порядок и условия погашения и выплаты доходов по облигациям, которые могут быть размещены в рамках программы облигаций:</w:t>
      </w:r>
    </w:p>
    <w:p w:rsidR="00617D43" w:rsidRDefault="00617D43" w:rsidP="00907940">
      <w:pPr>
        <w:pStyle w:val="StyleBoldJustifiedFirstline095cm"/>
        <w:divId w:val="1977225192"/>
      </w:pPr>
      <w:r>
        <w:t xml:space="preserve">9.1. Форма погашения облигаций: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формы погашения Биржевых облигаций не предусмотрена. </w:t>
      </w:r>
    </w:p>
    <w:p w:rsidR="00617D43" w:rsidRDefault="00617D43" w:rsidP="00907940">
      <w:pPr>
        <w:pStyle w:val="StyleBoldJustifiedFirstline095cm"/>
        <w:divId w:val="1977225192"/>
      </w:pPr>
      <w:r>
        <w:t xml:space="preserve">9.2. Порядок и условия погашения облигаций: </w:t>
      </w:r>
    </w:p>
    <w:p w:rsidR="00617D43" w:rsidRDefault="00617D43">
      <w:pPr>
        <w:ind w:firstLine="540"/>
        <w:jc w:val="both"/>
        <w:divId w:val="1977225192"/>
        <w:rPr>
          <w:rFonts w:eastAsia="Times New Roman"/>
        </w:rPr>
      </w:pPr>
      <w:r>
        <w:rPr>
          <w:rFonts w:eastAsia="Times New Roman"/>
        </w:rPr>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rsidR="00617D43" w:rsidRDefault="00617D43">
      <w:pPr>
        <w:ind w:firstLine="540"/>
        <w:jc w:val="both"/>
        <w:divId w:val="1977225192"/>
        <w:rPr>
          <w:rFonts w:eastAsia="Times New Roman"/>
        </w:rPr>
      </w:pPr>
      <w:r>
        <w:rPr>
          <w:rFonts w:eastAsia="Times New Roman"/>
        </w:rPr>
        <w:t>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Максимальный срок погашения Биржевых облигаций, размещаемых в рамках Программы, составляет 3 640 (Три тысячи шестьсот сорок) дней с даты начала размещения Выпуска Биржевых облигаций в рамках Программы. </w:t>
      </w:r>
    </w:p>
    <w:p w:rsidR="00617D43" w:rsidRDefault="00617D43">
      <w:pPr>
        <w:ind w:firstLine="540"/>
        <w:jc w:val="both"/>
        <w:divId w:val="1977225192"/>
        <w:rPr>
          <w:rFonts w:eastAsia="Times New Roman"/>
        </w:rPr>
      </w:pPr>
    </w:p>
    <w:p w:rsidR="00617D43" w:rsidRDefault="00617D43" w:rsidP="003C7F17">
      <w:pPr>
        <w:ind w:firstLine="540"/>
        <w:jc w:val="both"/>
        <w:divId w:val="1977225192"/>
        <w:rPr>
          <w:rFonts w:eastAsia="Times New Roman"/>
        </w:rPr>
      </w:pPr>
      <w:r w:rsidRPr="003C7F17">
        <w:rPr>
          <w:b/>
          <w:bCs/>
          <w:i/>
          <w:iCs/>
          <w:u w:val="single"/>
        </w:rPr>
        <w:lastRenderedPageBreak/>
        <w:t>Биржевые облигации погашаются в дату (далее - "Дата погашения"), которая или порядок определения которой будут установлены в Условиях выпуска.</w:t>
      </w:r>
      <w:r>
        <w:rPr>
          <w:rFonts w:eastAsia="Times New Roman"/>
          <w:b/>
          <w:bCs/>
          <w:i/>
          <w:iCs/>
        </w:rPr>
        <w:t xml:space="preserve"> Даты начала и окончания погашения Биржевых облигаций Выпуска совпадают.</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617D43" w:rsidRPr="00907940" w:rsidRDefault="002C45BD" w:rsidP="00907940">
      <w:pPr>
        <w:ind w:firstLine="540"/>
        <w:jc w:val="both"/>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szCs w:val="22"/>
        </w:rPr>
        <w:t>Передача денежных выплат в счет погашения Биржевых облигаций осуществляется депозитарием лицу, являвшемуся его депонентом:</w:t>
      </w: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w:t>
      </w:r>
      <w:r w:rsidRPr="00907940">
        <w:rPr>
          <w:rFonts w:eastAsia="Times New Roman"/>
          <w:b/>
          <w:bCs/>
          <w:i/>
          <w:iCs/>
        </w:rPr>
        <w:t xml:space="preserve"> </w:t>
      </w:r>
      <w:r w:rsidRPr="00907940">
        <w:rPr>
          <w:rFonts w:eastAsia="Times New Roman"/>
          <w:b/>
          <w:bCs/>
          <w:i/>
          <w:iCs/>
          <w:szCs w:val="22"/>
        </w:rPr>
        <w:t>абзацем.</w:t>
      </w: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rPr>
          <w:rFonts w:eastAsia="Times New Roman"/>
          <w:b/>
          <w:bCs/>
          <w:i/>
          <w:iCs/>
        </w:rPr>
      </w:pPr>
      <w:r w:rsidRPr="00907940">
        <w:rPr>
          <w:rFonts w:eastAsia="Times New Roman"/>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При погашении Биржевых облигаций выплачивается также купонный доход за последний купонный период.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Снятие Сертификата с хранения производится после списания всех Биржевых облигаций со счетов в НРД.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w:t>
      </w:r>
    </w:p>
    <w:p w:rsidR="00617D43" w:rsidRDefault="00617D43" w:rsidP="00907940">
      <w:pPr>
        <w:pStyle w:val="StyleBoldJustifiedFirstline095cm"/>
        <w:divId w:val="1977225192"/>
      </w:pPr>
      <w:r>
        <w:t xml:space="preserve">9.3. Порядок определения дохода, выплачиваемого по облигациям: </w:t>
      </w:r>
    </w:p>
    <w:p w:rsidR="00617D43" w:rsidRDefault="00617D43">
      <w:pPr>
        <w:ind w:firstLine="540"/>
        <w:jc w:val="both"/>
        <w:divId w:val="1977225192"/>
        <w:rPr>
          <w:rFonts w:eastAsia="Times New Roman"/>
        </w:rPr>
      </w:pPr>
      <w:r>
        <w:rPr>
          <w:rFonts w:eastAsia="Times New Roman"/>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rsidR="00617D43" w:rsidRDefault="00617D43">
      <w:pPr>
        <w:ind w:firstLine="540"/>
        <w:jc w:val="both"/>
        <w:divId w:val="1977225192"/>
        <w:rPr>
          <w:rFonts w:eastAsia="Times New Roman"/>
        </w:rPr>
      </w:pPr>
      <w:r>
        <w:rPr>
          <w:rFonts w:eastAsia="Times New Roman"/>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lastRenderedPageBreak/>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2C45BD" w:rsidRDefault="00617D43" w:rsidP="002C45BD">
      <w:pPr>
        <w:ind w:firstLine="540"/>
        <w:jc w:val="both"/>
        <w:divId w:val="1977225192"/>
        <w:rPr>
          <w:rFonts w:eastAsia="Times New Roman"/>
          <w:b/>
          <w:bCs/>
          <w:i/>
          <w:iCs/>
          <w:u w:val="single"/>
        </w:rPr>
      </w:pPr>
      <w:r w:rsidRPr="002C45BD">
        <w:rPr>
          <w:rFonts w:eastAsia="Times New Roman"/>
          <w:b/>
          <w:bCs/>
          <w:i/>
          <w:iCs/>
          <w:u w:val="single"/>
        </w:rPr>
        <w:t xml:space="preserve">Количество купонных периодов Биржевых облигаций устанавливается Условиями выпуска. </w:t>
      </w:r>
    </w:p>
    <w:p w:rsidR="00617D43" w:rsidRDefault="00617D43">
      <w:pPr>
        <w:ind w:firstLine="540"/>
        <w:jc w:val="both"/>
        <w:divId w:val="1977225192"/>
        <w:rPr>
          <w:rFonts w:eastAsia="Times New Roman"/>
        </w:rPr>
      </w:pPr>
    </w:p>
    <w:p w:rsidR="00617D43" w:rsidRPr="00907940" w:rsidRDefault="00617D43" w:rsidP="00907940">
      <w:pPr>
        <w:ind w:firstLine="540"/>
        <w:jc w:val="both"/>
        <w:divId w:val="1977225192"/>
        <w:rPr>
          <w:b/>
          <w:bCs/>
          <w:i/>
          <w:iCs/>
          <w:u w:val="single"/>
        </w:rPr>
      </w:pPr>
      <w:r w:rsidRPr="00907940">
        <w:rP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00F01452">
        <w:rPr>
          <w:b/>
          <w:bCs/>
          <w:i/>
          <w:iCs/>
          <w:u w:val="single"/>
        </w:rPr>
        <w:t>.</w:t>
      </w:r>
      <w:r w:rsidRPr="00907940">
        <w:rPr>
          <w:b/>
          <w:bCs/>
          <w:i/>
          <w:iCs/>
          <w:u w:val="single"/>
        </w:rPr>
        <w:t xml:space="preserve"> </w:t>
      </w:r>
    </w:p>
    <w:p w:rsidR="00617D43" w:rsidRDefault="002C45BD">
      <w:pPr>
        <w:ind w:firstLine="540"/>
        <w:jc w:val="both"/>
        <w:divId w:val="1977225192"/>
        <w:rPr>
          <w:rFonts w:eastAsia="Times New Roman"/>
        </w:rPr>
      </w:pPr>
      <w:r>
        <w:rPr>
          <w:rFonts w:eastAsia="Times New Roman"/>
          <w:b/>
          <w:bCs/>
          <w:i/>
          <w:iCs/>
        </w:rPr>
        <w:t xml:space="preserve">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Расчет суммы выплат по каждому i-му купону на одну Биржевую облигацию производится по следующей формуле: </w:t>
      </w:r>
    </w:p>
    <w:p w:rsidR="00617D43" w:rsidRPr="00907940" w:rsidRDefault="00617D43" w:rsidP="00907940">
      <w:pPr>
        <w:ind w:firstLine="540"/>
        <w:jc w:val="both"/>
        <w:divId w:val="1977225192"/>
        <w:rPr>
          <w:rFonts w:eastAsia="Times New Roman"/>
          <w:b/>
          <w:bCs/>
          <w:i/>
          <w:iCs/>
          <w:lang w:val="en-US"/>
        </w:rPr>
      </w:pPr>
      <w:r w:rsidRPr="00907940">
        <w:rPr>
          <w:rFonts w:eastAsia="Times New Roman"/>
          <w:b/>
          <w:bCs/>
          <w:i/>
          <w:iCs/>
        </w:rPr>
        <w:t>КД</w:t>
      </w:r>
      <w:r w:rsidRPr="00907940">
        <w:rPr>
          <w:rFonts w:eastAsia="Times New Roman"/>
          <w:b/>
          <w:bCs/>
          <w:i/>
          <w:iCs/>
          <w:lang w:val="en-US"/>
        </w:rPr>
        <w:t xml:space="preserve"> i= Ci * Nom * ( </w:t>
      </w:r>
      <w:r w:rsidRPr="00907940">
        <w:rPr>
          <w:rFonts w:eastAsia="Times New Roman"/>
          <w:b/>
          <w:bCs/>
          <w:i/>
          <w:iCs/>
        </w:rPr>
        <w:t>ДОКП</w:t>
      </w:r>
      <w:r w:rsidRPr="00907940">
        <w:rPr>
          <w:rFonts w:eastAsia="Times New Roman"/>
          <w:b/>
          <w:bCs/>
          <w:i/>
          <w:iCs/>
          <w:lang w:val="en-US"/>
        </w:rPr>
        <w:t xml:space="preserve"> (i) - </w:t>
      </w:r>
      <w:r w:rsidRPr="00907940">
        <w:rPr>
          <w:rFonts w:eastAsia="Times New Roman"/>
          <w:b/>
          <w:bCs/>
          <w:i/>
          <w:iCs/>
        </w:rPr>
        <w:t>ДНКП</w:t>
      </w:r>
      <w:r w:rsidRPr="00907940">
        <w:rPr>
          <w:rFonts w:eastAsia="Times New Roman"/>
          <w:b/>
          <w:bCs/>
          <w:i/>
          <w:iCs/>
          <w:lang w:val="en-US"/>
        </w:rPr>
        <w:t xml:space="preserve"> (i)) / (365 * 100%),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где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Nom - непогашенная часть номинальной стоимости одной Биржевой облигации в валюте, в которой выражена номинальная стоимость Биржевой облигации;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Ci - размер процентной ставки по i-му купону, проценты годовых;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ДНКП(i) - дата начала i-го купонного периода.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ДОКП(i) - дата окончания i-го купонного периода.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i - порядковый номер купонного периода (i=1,2,3... N ), где N - количество купонных периодов, установленных Условиями выпуска.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порядке, указанном ниже.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w:t>
      </w:r>
    </w:p>
    <w:p w:rsidR="00617D43" w:rsidRDefault="00617D43">
      <w:pPr>
        <w:ind w:firstLine="540"/>
        <w:jc w:val="both"/>
        <w:divId w:val="1977225192"/>
        <w:rPr>
          <w:rFonts w:eastAsia="Times New Roman"/>
        </w:rPr>
      </w:pPr>
      <w:r>
        <w:rPr>
          <w:rFonts w:eastAsia="Times New Roman"/>
        </w:rPr>
        <w:t>Порядок определения процентной ставки по первому купону:</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Default="00617D43">
      <w:pPr>
        <w:ind w:firstLine="540"/>
        <w:jc w:val="both"/>
        <w:divId w:val="1977225192"/>
        <w:rPr>
          <w:rFonts w:eastAsia="Times New Roman"/>
        </w:rPr>
      </w:pPr>
      <w:r>
        <w:rPr>
          <w:rFonts w:eastAsia="Times New Roman"/>
        </w:rPr>
        <w:t>Порядок определения процентной ставки по купонам, начиная со второго:</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 -ый купонный период (i = 2,... N ).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lastRenderedPageBreak/>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rsidR="00617D43" w:rsidRPr="00907940" w:rsidRDefault="00617D43" w:rsidP="00907940">
      <w:pPr>
        <w:ind w:firstLine="540"/>
        <w:jc w:val="both"/>
        <w:divId w:val="1977225192"/>
        <w:rPr>
          <w:rFonts w:eastAsia="Times New Roman"/>
          <w:b/>
          <w:bCs/>
          <w:i/>
          <w:iCs/>
        </w:rPr>
      </w:pP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 </w:t>
      </w:r>
    </w:p>
    <w:p w:rsidR="00617D43" w:rsidRPr="00907940" w:rsidRDefault="00617D43" w:rsidP="00907940">
      <w:pPr>
        <w:ind w:firstLine="540"/>
        <w:jc w:val="both"/>
        <w:divId w:val="1977225192"/>
        <w:rPr>
          <w:rFonts w:eastAsia="Times New Roman"/>
          <w:b/>
          <w:bCs/>
          <w:i/>
          <w:iCs/>
        </w:rPr>
      </w:pPr>
    </w:p>
    <w:p w:rsidR="00617D43" w:rsidRPr="00907940" w:rsidRDefault="00617D43" w:rsidP="003C7F17">
      <w:pPr>
        <w:ind w:firstLine="540"/>
        <w:jc w:val="both"/>
        <w:divId w:val="1977225192"/>
        <w:rPr>
          <w:rFonts w:eastAsia="Times New Roman"/>
          <w:b/>
          <w:bCs/>
          <w:i/>
          <w:iCs/>
        </w:rPr>
      </w:pPr>
      <w:r w:rsidRPr="00907940">
        <w:rPr>
          <w:rFonts w:eastAsia="Times New Roman"/>
          <w:b/>
          <w:bCs/>
          <w:i/>
          <w:iCs/>
        </w:rPr>
        <w:t>При этом информация об установленной(-ых) ставке(-ах) или порядке определения процентной</w:t>
      </w:r>
      <w:r w:rsidR="002C45BD" w:rsidRPr="00907940">
        <w:rPr>
          <w:rFonts w:eastAsia="Times New Roman"/>
          <w:b/>
          <w:bCs/>
          <w:i/>
          <w:iCs/>
        </w:rPr>
        <w:t xml:space="preserve"> </w:t>
      </w:r>
      <w:r w:rsidRPr="00907940">
        <w:rPr>
          <w:rFonts w:eastAsia="Times New Roman"/>
          <w:b/>
          <w:bCs/>
          <w:i/>
          <w:iCs/>
        </w:rPr>
        <w:t xml:space="preserve">(-ых) ставке(-ах) по купону(-ам)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3C7F17">
        <w:rPr>
          <w:b/>
          <w:bCs/>
          <w:i/>
          <w:iCs/>
          <w:u w:val="single"/>
        </w:rPr>
        <w:t xml:space="preserve">может быть указана в соответствующих Условиях выпуска Биржевых облигаций. </w:t>
      </w:r>
    </w:p>
    <w:p w:rsidR="00617D43" w:rsidRDefault="00617D43" w:rsidP="00907940">
      <w:pPr>
        <w:pStyle w:val="StyleBoldJustifiedFirstline095cm"/>
        <w:divId w:val="1977225192"/>
      </w:pPr>
      <w:r>
        <w:t xml:space="preserve">9.4. Порядок и срок выплаты дохода по облигациям: </w:t>
      </w:r>
    </w:p>
    <w:p w:rsidR="00617D43" w:rsidRDefault="00617D43" w:rsidP="00617D43">
      <w:pPr>
        <w:ind w:firstLine="540"/>
        <w:jc w:val="both"/>
        <w:rPr>
          <w:rFonts w:eastAsia="Times New Roman"/>
        </w:rPr>
      </w:pPr>
    </w:p>
    <w:p w:rsidR="00617D43" w:rsidRDefault="00617D43" w:rsidP="00617D43">
      <w:pPr>
        <w:ind w:firstLine="540"/>
        <w:jc w:val="both"/>
        <w:rPr>
          <w:rFonts w:eastAsia="Times New Roman"/>
        </w:rPr>
      </w:pPr>
      <w:r>
        <w:rPr>
          <w:rFonts w:eastAsia="Times New Roman"/>
        </w:rPr>
        <w:t xml:space="preserve">Срок выплаты дохода по облигациям: </w:t>
      </w:r>
      <w:r>
        <w:rPr>
          <w:rFonts w:eastAsia="Times New Roman"/>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617D43" w:rsidRDefault="00617D43" w:rsidP="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Порядок выплаты дохода по облигациям:</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Выплата купонного дохода по Биржевым облигациям производится денежными средствами в валюте, в которой выражена номинальная стоимость Биржевой облигации, в безналичном порядке.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 xml:space="preserve">Если дата окончания купонного периода приходится на нерабочий день, то перечисление надлежащей суммы производится в первый рабочий день, следующий </w:t>
      </w:r>
      <w:r>
        <w:rPr>
          <w:rFonts w:eastAsia="Times New Roman"/>
          <w:b/>
          <w:bCs/>
          <w:i/>
          <w:iCs/>
        </w:rPr>
        <w:t>за датой окончания купонного периода</w:t>
      </w:r>
      <w:r>
        <w:rPr>
          <w:rFonts w:eastAsia="Times New Roman"/>
        </w:rPr>
        <w:t>. Владелец Биржевых облигаций не имеет права требовать начисления процентов или какой-либо иной компенсации за такую задержку в платеже.</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Передача доходов по Биржевым облигациям в денежной форме осуществляется депозитарием лицу, являвшемуся его депонентом: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w:t>
      </w:r>
      <w:r w:rsidRPr="00907940">
        <w:rPr>
          <w:rFonts w:eastAsia="Times New Roman"/>
          <w:b/>
          <w:bCs/>
          <w:i/>
          <w:iCs/>
        </w:rPr>
        <w:lastRenderedPageBreak/>
        <w:t xml:space="preserve">денежной выплаты по Биржевым облигациям), не исполняется или исполняется ненадлежащим образом.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Выплаты дохода по Биржевым облигациям осуществляется в соответствии с порядком, установленным действующим законодательством Российской Федерации. </w:t>
      </w:r>
    </w:p>
    <w:p w:rsidR="00617D43" w:rsidRDefault="00617D43" w:rsidP="00907940">
      <w:pPr>
        <w:pStyle w:val="StyleBoldJustifiedFirstline095cm"/>
        <w:divId w:val="1977225192"/>
      </w:pPr>
      <w:r>
        <w:t xml:space="preserve">9.5. Порядок и условия досрочного погашения облигаций: </w:t>
      </w:r>
    </w:p>
    <w:p w:rsidR="00617D43" w:rsidRDefault="00617D43">
      <w:pPr>
        <w:ind w:firstLine="540"/>
        <w:jc w:val="both"/>
        <w:divId w:val="1977225192"/>
        <w:rPr>
          <w:rFonts w:eastAsia="Times New Roman"/>
        </w:rPr>
      </w:pPr>
      <w:r>
        <w:rPr>
          <w:rFonts w:eastAsia="Times New Roman"/>
        </w:rPr>
        <w:t>Указывается на возможность досрочного погашения облигаций по усмотрению эмитента и (или) по требованию их владельцев.</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Предусмотрена возможность досрочного погашения Биржевых облигаций по усмотрению Эмитента и по требованию их владельцев.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Досрочное погашение Биржевых облигаций допускается только после их полной оплаты.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Биржевые облигации, погашенные Эмитентом досрочно, не могут быть вновь выпущены в обращение. </w:t>
      </w:r>
    </w:p>
    <w:p w:rsidR="00617D43" w:rsidRPr="00907940" w:rsidRDefault="00617D43" w:rsidP="00907940">
      <w:pPr>
        <w:pStyle w:val="StyleBoldJustifiedFirstline095cm"/>
        <w:divId w:val="1977225192"/>
      </w:pPr>
      <w:r w:rsidRPr="00907940">
        <w:t xml:space="preserve">9.5.1 Досрочное погашение Биржевых облигаций по требованию их владельцев: </w:t>
      </w:r>
    </w:p>
    <w:p w:rsidR="00617D43" w:rsidRDefault="00617D43">
      <w:pPr>
        <w:ind w:firstLine="540"/>
        <w:jc w:val="both"/>
        <w:divId w:val="1977225192"/>
        <w:rPr>
          <w:rFonts w:eastAsia="Times New Roman"/>
        </w:rPr>
      </w:pP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Стоимость (порядок определения стоимости) досрочного погашения:</w:t>
      </w:r>
    </w:p>
    <w:p w:rsidR="00617D43" w:rsidRDefault="00617D43">
      <w:pPr>
        <w:ind w:firstLine="540"/>
        <w:jc w:val="both"/>
        <w:divId w:val="1977225192"/>
        <w:rPr>
          <w:rFonts w:eastAsia="Times New Roman"/>
        </w:rPr>
      </w:pPr>
    </w:p>
    <w:p w:rsidR="00617D43" w:rsidRDefault="00617D43" w:rsidP="003C7F17">
      <w:pPr>
        <w:ind w:firstLine="540"/>
        <w:jc w:val="both"/>
        <w:divId w:val="1977225192"/>
        <w:rPr>
          <w:rFonts w:eastAsia="Times New Roman"/>
        </w:rPr>
      </w:pPr>
      <w:r>
        <w:rPr>
          <w:rFonts w:eastAsia="Times New Roman"/>
          <w:b/>
          <w:bCs/>
          <w:i/>
          <w:iCs/>
        </w:rPr>
        <w:t>Досрочное погашение Биржевых облигаций по требованию их владельцев производится по 100% от непогашенной части номинальной стоимости</w:t>
      </w:r>
      <w:r w:rsidR="003C7F17">
        <w:rPr>
          <w:rFonts w:eastAsia="Times New Roman"/>
          <w:b/>
          <w:bCs/>
          <w:i/>
          <w:iCs/>
        </w:rPr>
        <w:t xml:space="preserve"> </w:t>
      </w:r>
      <w:r>
        <w:rPr>
          <w:rFonts w:eastAsia="Times New Roman"/>
          <w:b/>
          <w:bCs/>
          <w:i/>
          <w:iCs/>
        </w:rPr>
        <w:t>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617D43" w:rsidRDefault="00617D43">
      <w:pPr>
        <w:ind w:firstLine="540"/>
        <w:jc w:val="both"/>
        <w:divId w:val="1977225192"/>
        <w:rPr>
          <w:rFonts w:eastAsia="Times New Roman"/>
        </w:rPr>
      </w:pP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Порядок реализации лицами, осуществляющими права по ценным бумагам, права требовать досрочного погашения облигаций:</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 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w:t>
      </w:r>
      <w:r w:rsidRPr="00907940">
        <w:rPr>
          <w:rFonts w:eastAsia="Times New Roman"/>
          <w:b/>
          <w:bCs/>
          <w:i/>
          <w:iCs/>
        </w:rPr>
        <w:lastRenderedPageBreak/>
        <w:t xml:space="preserve">количество принадлежащих такому лицу ценных бумаг, международный код идентификации организации, осуществляющей учет прав на ценные бумаги этого лица.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Требование (заявление) о досрочном погашении Биржевых облигаций направляется в соответствии с действующим законодательством.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Требование (заявление) о досрочном погашении Биржевых облигаций считается полученным Эмитентом в день его получения НРД. </w:t>
      </w:r>
    </w:p>
    <w:p w:rsidR="00617D43" w:rsidRPr="00907940" w:rsidRDefault="00617D43" w:rsidP="00907940">
      <w:pPr>
        <w:ind w:firstLine="540"/>
        <w:jc w:val="both"/>
        <w:divId w:val="1977225192"/>
        <w:rPr>
          <w:rFonts w:eastAsia="Times New Roman"/>
          <w:b/>
          <w:bCs/>
          <w:i/>
          <w:iCs/>
        </w:rPr>
      </w:pPr>
    </w:p>
    <w:p w:rsidR="00617D43" w:rsidRDefault="00617D43">
      <w:pPr>
        <w:ind w:firstLine="540"/>
        <w:jc w:val="both"/>
        <w:divId w:val="1977225192"/>
        <w:rPr>
          <w:rFonts w:eastAsia="Times New Roman"/>
        </w:rPr>
      </w:pPr>
      <w:r>
        <w:rPr>
          <w:rFonts w:eastAsia="Times New Roman"/>
        </w:rPr>
        <w:t>Порядок и условия досрочного погашения облигаций по требованию их владельцев:</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Досрочное погашение Биржевых облигаций производится денежными средствами в безналичном порядке в валюте, в которой выражена номинальная стоимость Биржевой облигации. Возможность выбора владельцами Биржевых облигаций формы погашения Биржевых облигаций не предусмотрена.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Требование (заявление) о досрочном погашении Биржевых облигаций, содержащее положения о выплате наличных денег, не удовлетворяется.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w:t>
      </w:r>
      <w:r w:rsidR="002C45BD" w:rsidRPr="00907940">
        <w:rPr>
          <w:rFonts w:eastAsia="Times New Roman"/>
          <w:b/>
          <w:bCs/>
          <w:i/>
          <w:iCs/>
        </w:rPr>
        <w:t xml:space="preserve"> </w:t>
      </w:r>
      <w:r w:rsidRPr="00907940">
        <w:rPr>
          <w:rFonts w:eastAsia="Times New Roman"/>
          <w:b/>
          <w:bCs/>
          <w:i/>
          <w:iCs/>
        </w:rPr>
        <w:t xml:space="preserve">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lastRenderedPageBreak/>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w:t>
      </w:r>
      <w:r w:rsidR="002C45BD" w:rsidRPr="00907940">
        <w:rPr>
          <w:rFonts w:eastAsia="Times New Roman"/>
          <w:b/>
          <w:bCs/>
          <w:i/>
          <w:iCs/>
        </w:rPr>
        <w:t xml:space="preserve"> </w:t>
      </w:r>
      <w:r w:rsidRPr="00907940">
        <w:rPr>
          <w:rFonts w:eastAsia="Times New Roman"/>
          <w:b/>
          <w:bCs/>
          <w:i/>
          <w:iCs/>
        </w:rPr>
        <w:t xml:space="preserve">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Для осуществления указанного перевода Эмитент не позднее, чем во</w:t>
      </w:r>
      <w:r w:rsidR="002C45BD" w:rsidRPr="00907940">
        <w:rPr>
          <w:rFonts w:eastAsia="Times New Roman"/>
          <w:b/>
          <w:bCs/>
          <w:i/>
          <w:iCs/>
        </w:rPr>
        <w:t xml:space="preserve"> </w:t>
      </w:r>
      <w:r w:rsidRPr="00907940">
        <w:rPr>
          <w:rFonts w:eastAsia="Times New Roman"/>
          <w:b/>
          <w:bCs/>
          <w:i/>
          <w:iCs/>
        </w:rPr>
        <w:t xml:space="preserve">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Дата исполнения не должна выпадать на нерабочий день.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Биржевые облигации, погашенные Эмитентом досрочно, не могут быть выпущены в обращение. </w:t>
      </w:r>
    </w:p>
    <w:p w:rsidR="00617D43" w:rsidRPr="00907940" w:rsidRDefault="00617D43" w:rsidP="00907940">
      <w:pPr>
        <w:ind w:firstLine="540"/>
        <w:jc w:val="both"/>
        <w:divId w:val="1977225192"/>
        <w:rPr>
          <w:rFonts w:eastAsia="Times New Roman"/>
          <w:b/>
          <w:bCs/>
          <w:i/>
          <w:iCs/>
        </w:rPr>
      </w:pPr>
    </w:p>
    <w:p w:rsidR="00617D43" w:rsidRDefault="00617D43">
      <w:pPr>
        <w:ind w:firstLine="540"/>
        <w:jc w:val="both"/>
        <w:divId w:val="1977225192"/>
        <w:rPr>
          <w:rFonts w:eastAsia="Times New Roman"/>
        </w:rPr>
      </w:pPr>
      <w:r>
        <w:rPr>
          <w:rFonts w:eastAsia="Times New Roman"/>
        </w:rPr>
        <w:lastRenderedPageBreak/>
        <w:t>Порядок раскрытия (представления) эмитентом информации о порядке и условиях досрочного погашения облигаций:</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 </w:t>
      </w:r>
    </w:p>
    <w:p w:rsidR="00617D43" w:rsidRPr="00907940" w:rsidRDefault="002C45BD" w:rsidP="00907940">
      <w:pPr>
        <w:ind w:firstLine="540"/>
        <w:jc w:val="both"/>
        <w:divId w:val="1977225192"/>
        <w:rPr>
          <w:rFonts w:eastAsia="Times New Roman"/>
          <w:b/>
          <w:bCs/>
          <w:i/>
          <w:iCs/>
        </w:rPr>
      </w:pPr>
      <w:r w:rsidRPr="00907940">
        <w:rPr>
          <w:rFonts w:eastAsia="Times New Roman"/>
          <w:b/>
          <w:bCs/>
          <w:i/>
          <w:iCs/>
        </w:rPr>
        <w:t xml:space="preserve"> </w:t>
      </w:r>
    </w:p>
    <w:p w:rsidR="00617D43" w:rsidRDefault="00617D43">
      <w:pPr>
        <w:ind w:firstLine="540"/>
        <w:jc w:val="both"/>
        <w:divId w:val="1977225192"/>
        <w:rPr>
          <w:rFonts w:eastAsia="Times New Roman"/>
        </w:rPr>
      </w:pPr>
      <w:r>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Иные условия:</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 </w:t>
      </w:r>
    </w:p>
    <w:p w:rsidR="00617D43" w:rsidRPr="00907940" w:rsidRDefault="00617D43" w:rsidP="00907940">
      <w:pPr>
        <w:ind w:firstLine="540"/>
        <w:jc w:val="both"/>
        <w:divId w:val="1977225192"/>
        <w:rPr>
          <w:rFonts w:eastAsia="Times New Roman"/>
          <w:b/>
          <w:bCs/>
          <w:i/>
          <w:iCs/>
        </w:rPr>
      </w:pPr>
      <w:r w:rsidRPr="00907940">
        <w:rPr>
          <w:rFonts w:eastAsia="Times New Roman"/>
          <w:b/>
          <w:bCs/>
          <w:i/>
          <w:iCs/>
        </w:rPr>
        <w:t xml:space="preserve">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 </w:t>
      </w:r>
    </w:p>
    <w:p w:rsidR="00617D43" w:rsidRPr="00F0734D" w:rsidRDefault="00617D43" w:rsidP="00F0734D">
      <w:pPr>
        <w:pStyle w:val="StyleBoldJustifiedFirstline095cm"/>
        <w:divId w:val="1977225192"/>
      </w:pPr>
      <w:r w:rsidRPr="00F0734D">
        <w:t xml:space="preserve">9.5.2 Досрочное погашение по усмотрению эмитента: </w:t>
      </w:r>
    </w:p>
    <w:p w:rsidR="00617D43" w:rsidRDefault="00617D43">
      <w:pPr>
        <w:ind w:firstLine="540"/>
        <w:jc w:val="both"/>
        <w:divId w:val="1977225192"/>
        <w:rPr>
          <w:rFonts w:eastAsia="Times New Roman"/>
        </w:rPr>
      </w:pP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Досрочное погашение Биржевых облигаций по усмотрению Эмитента осуществляется в отношении всех Биржевых облигаций выпуска. </w:t>
      </w:r>
    </w:p>
    <w:p w:rsidR="00617D43" w:rsidRPr="002C45BD" w:rsidRDefault="00617D43" w:rsidP="002C45BD">
      <w:pPr>
        <w:ind w:firstLine="540"/>
        <w:jc w:val="both"/>
        <w:divId w:val="1977225192"/>
        <w:rPr>
          <w:rFonts w:eastAsia="Times New Roman"/>
          <w:b/>
          <w:bCs/>
          <w:i/>
          <w:iCs/>
          <w:u w:val="single"/>
        </w:rPr>
      </w:pPr>
    </w:p>
    <w:p w:rsidR="00617D43" w:rsidRPr="00F0734D" w:rsidRDefault="00617D43" w:rsidP="00F0734D">
      <w:pPr>
        <w:ind w:firstLine="540"/>
        <w:jc w:val="both"/>
        <w:divId w:val="1977225192"/>
        <w:rPr>
          <w:rFonts w:eastAsia="Times New Roman"/>
          <w:b/>
          <w:bCs/>
          <w:i/>
          <w:iCs/>
          <w:u w:val="single"/>
        </w:rPr>
      </w:pPr>
      <w:r w:rsidRPr="00F0734D">
        <w:rPr>
          <w:rFonts w:eastAsia="Times New Roman"/>
          <w:b/>
          <w:bCs/>
          <w:i/>
          <w:iCs/>
          <w:u w:val="single"/>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 </w:t>
      </w:r>
    </w:p>
    <w:p w:rsidR="00617D43" w:rsidRPr="002C45BD" w:rsidRDefault="00617D43" w:rsidP="002C45BD">
      <w:pPr>
        <w:ind w:firstLine="540"/>
        <w:jc w:val="both"/>
        <w:rPr>
          <w:rFonts w:eastAsia="Times New Roman"/>
          <w:b/>
          <w:bCs/>
          <w:i/>
          <w:iCs/>
          <w:u w:val="single"/>
        </w:rPr>
      </w:pP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9.5.2.1. </w:t>
      </w:r>
    </w:p>
    <w:p w:rsidR="00617D43" w:rsidRDefault="00617D43">
      <w:pPr>
        <w:ind w:firstLine="540"/>
        <w:jc w:val="both"/>
        <w:divId w:val="1977225192"/>
        <w:rPr>
          <w:rFonts w:eastAsia="Times New Roman"/>
        </w:rPr>
      </w:pPr>
      <w:r>
        <w:rPr>
          <w:rFonts w:eastAsia="Times New Roman"/>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lastRenderedPageBreak/>
        <w:t xml:space="preserve">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 </w:t>
      </w:r>
    </w:p>
    <w:p w:rsidR="00617D43" w:rsidRDefault="00617D43">
      <w:pPr>
        <w:rPr>
          <w:rFonts w:eastAsia="Times New Roman"/>
        </w:rPr>
      </w:pPr>
      <w:r>
        <w:rPr>
          <w:rFonts w:eastAsia="Times New Roman"/>
        </w:rPr>
        <w:t> </w:t>
      </w:r>
    </w:p>
    <w:p w:rsidR="00617D43" w:rsidRDefault="00617D43">
      <w:pPr>
        <w:rPr>
          <w:rFonts w:eastAsia="Times New Roman"/>
        </w:rPr>
      </w:pPr>
      <w:r>
        <w:rPr>
          <w:rFonts w:eastAsia="Times New Roman"/>
        </w:rPr>
        <w:t>порядок раскрытия информации об условиях досрочного погашения облигаций по усмотрению Эмитента:</w:t>
      </w:r>
    </w:p>
    <w:p w:rsidR="00617D43" w:rsidRPr="003C7F17" w:rsidRDefault="00617D43" w:rsidP="003C7F17">
      <w:pPr>
        <w:ind w:firstLine="540"/>
        <w:jc w:val="both"/>
        <w:divId w:val="1977225192"/>
        <w:rPr>
          <w:b/>
          <w:bCs/>
          <w:i/>
          <w:iCs/>
        </w:rPr>
      </w:pPr>
      <w:r w:rsidRPr="003C7F17">
        <w:rPr>
          <w:b/>
          <w:bCs/>
          <w:i/>
          <w:iCs/>
        </w:rPr>
        <w:t xml:space="preserve">Сообщение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 </w:t>
      </w:r>
    </w:p>
    <w:p w:rsidR="00617D43" w:rsidRDefault="00617D43">
      <w:pPr>
        <w:ind w:firstLine="540"/>
        <w:jc w:val="both"/>
        <w:divId w:val="1977225192"/>
        <w:rPr>
          <w:rFonts w:eastAsia="Times New Roman"/>
        </w:rPr>
      </w:pPr>
    </w:p>
    <w:p w:rsidR="00617D43" w:rsidRDefault="00617D43" w:rsidP="00F0734D">
      <w:pPr>
        <w:ind w:firstLine="540"/>
        <w:jc w:val="both"/>
        <w:rPr>
          <w:rFonts w:eastAsia="Times New Roman"/>
        </w:rPr>
      </w:pPr>
      <w:r>
        <w:rPr>
          <w:rFonts w:eastAsia="Times New Roman"/>
        </w:rPr>
        <w:t>порядок и условия досрочного погашения облигаций по усмотрению эмитента</w:t>
      </w:r>
    </w:p>
    <w:p w:rsidR="00617D43" w:rsidRPr="003C7F17" w:rsidRDefault="00617D43" w:rsidP="003C7F17">
      <w:pPr>
        <w:ind w:firstLine="540"/>
        <w:jc w:val="both"/>
        <w:divId w:val="1977225192"/>
        <w:rPr>
          <w:b/>
          <w:bCs/>
          <w:i/>
          <w:iCs/>
        </w:rPr>
      </w:pPr>
      <w:r w:rsidRPr="003C7F17">
        <w:rPr>
          <w:b/>
          <w:bCs/>
          <w:i/>
          <w:iCs/>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Данное решение принимается уполномоченным органом управления Эмитента. </w:t>
      </w:r>
    </w:p>
    <w:p w:rsidR="00617D43" w:rsidRDefault="00617D43">
      <w:pPr>
        <w:ind w:firstLine="540"/>
        <w:jc w:val="both"/>
        <w:divId w:val="1977225192"/>
        <w:rPr>
          <w:rFonts w:eastAsia="Times New Roman"/>
        </w:rPr>
      </w:pPr>
    </w:p>
    <w:p w:rsidR="00617D43" w:rsidRDefault="00617D43" w:rsidP="00F0734D">
      <w:pPr>
        <w:ind w:firstLine="540"/>
        <w:jc w:val="both"/>
        <w:rPr>
          <w:rFonts w:eastAsia="Times New Roman"/>
        </w:rPr>
      </w:pPr>
      <w:r>
        <w:rPr>
          <w:rFonts w:eastAsia="Times New Roman"/>
        </w:rPr>
        <w:t>порядок раскрытия информации о порядке и условиях досрочного погашения облигаций по усмотрению Эмитента:</w:t>
      </w:r>
    </w:p>
    <w:p w:rsidR="00617D43" w:rsidRPr="003C7F17" w:rsidRDefault="00617D43" w:rsidP="003C7F17">
      <w:pPr>
        <w:ind w:firstLine="540"/>
        <w:jc w:val="both"/>
        <w:divId w:val="1977225192"/>
        <w:rPr>
          <w:b/>
          <w:bCs/>
          <w:i/>
          <w:iCs/>
        </w:rPr>
      </w:pPr>
      <w:r w:rsidRPr="003C7F17">
        <w:rPr>
          <w:b/>
          <w:bCs/>
          <w:i/>
          <w:iCs/>
        </w:rPr>
        <w:t xml:space="preserve">Сообщение о досрочном погашении Биржевых облигаций по усмотрению Эмитента раскрывается в порядке, указанном в п. 11 Программы и п.8.11 Проспекта. </w:t>
      </w:r>
    </w:p>
    <w:p w:rsidR="00617D43" w:rsidRPr="00F0734D" w:rsidRDefault="002C45BD" w:rsidP="00F0734D">
      <w:pPr>
        <w:ind w:firstLine="540"/>
        <w:jc w:val="both"/>
        <w:divId w:val="1977225192"/>
        <w:rPr>
          <w:rFonts w:eastAsia="Times New Roman"/>
          <w:b/>
          <w:bCs/>
          <w:i/>
          <w:iCs/>
        </w:rPr>
      </w:pPr>
      <w:r w:rsidRPr="00F0734D">
        <w:rPr>
          <w:rFonts w:eastAsia="Times New Roman"/>
          <w:b/>
          <w:bCs/>
          <w:i/>
          <w:iCs/>
        </w:rPr>
        <w:t xml:space="preserve">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 </w:t>
      </w:r>
    </w:p>
    <w:p w:rsidR="00617D43" w:rsidRPr="00F0734D" w:rsidRDefault="00617D43" w:rsidP="00F0734D">
      <w:pPr>
        <w:ind w:firstLine="540"/>
        <w:jc w:val="both"/>
        <w:divId w:val="1977225192"/>
        <w:rPr>
          <w:rFonts w:eastAsia="Times New Roman"/>
          <w:b/>
          <w:bCs/>
          <w:i/>
          <w:iCs/>
        </w:rPr>
      </w:pPr>
    </w:p>
    <w:p w:rsidR="00617D43" w:rsidRPr="00F0734D" w:rsidRDefault="00617D43" w:rsidP="00F0734D">
      <w:pPr>
        <w:ind w:firstLine="540"/>
        <w:jc w:val="both"/>
        <w:rPr>
          <w:rFonts w:eastAsia="Times New Roman"/>
          <w:b/>
          <w:bCs/>
          <w:i/>
          <w:iCs/>
        </w:rPr>
      </w:pPr>
      <w:r w:rsidRPr="00F0734D">
        <w:rPr>
          <w:rFonts w:eastAsia="Times New Roman"/>
          <w:b/>
          <w:bCs/>
          <w:i/>
          <w:iCs/>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rsidR="00617D43" w:rsidRDefault="00617D43">
      <w:pPr>
        <w:ind w:firstLine="540"/>
        <w:jc w:val="both"/>
        <w:divId w:val="1977225192"/>
        <w:rPr>
          <w:rFonts w:eastAsia="Times New Roman"/>
        </w:rPr>
      </w:pPr>
    </w:p>
    <w:p w:rsidR="00617D43" w:rsidRDefault="00617D43" w:rsidP="00F0734D">
      <w:pPr>
        <w:ind w:firstLine="540"/>
        <w:jc w:val="both"/>
        <w:rPr>
          <w:rFonts w:eastAsia="Times New Roman"/>
        </w:rPr>
      </w:pPr>
      <w:r>
        <w:rPr>
          <w:rFonts w:eastAsia="Times New Roman"/>
        </w:rPr>
        <w:t>стоимость (порядок определения стоимости) досрочного погашения:</w:t>
      </w:r>
    </w:p>
    <w:p w:rsidR="00617D43" w:rsidRPr="00F0734D" w:rsidRDefault="00617D43" w:rsidP="00F0734D">
      <w:pPr>
        <w:ind w:firstLine="540"/>
        <w:jc w:val="both"/>
        <w:rPr>
          <w:rFonts w:eastAsia="Times New Roman"/>
          <w:b/>
          <w:bCs/>
          <w:i/>
          <w:iCs/>
        </w:rPr>
      </w:pPr>
      <w:r w:rsidRPr="00F0734D">
        <w:rPr>
          <w:rFonts w:eastAsia="Times New Roman"/>
          <w:b/>
          <w:bCs/>
          <w:i/>
          <w:iCs/>
        </w:rPr>
        <w:t xml:space="preserve">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п.8.19 Проспекта. </w:t>
      </w:r>
    </w:p>
    <w:p w:rsidR="00617D43" w:rsidRDefault="00617D43">
      <w:pPr>
        <w:ind w:firstLine="540"/>
        <w:jc w:val="both"/>
        <w:divId w:val="1977225192"/>
        <w:rPr>
          <w:rFonts w:eastAsia="Times New Roman"/>
        </w:rPr>
      </w:pPr>
    </w:p>
    <w:p w:rsidR="00617D43" w:rsidRDefault="00617D43" w:rsidP="00F0734D">
      <w:pPr>
        <w:ind w:firstLine="540"/>
        <w:jc w:val="both"/>
        <w:rPr>
          <w:rFonts w:eastAsia="Times New Roman"/>
        </w:rPr>
      </w:pPr>
      <w:r>
        <w:rPr>
          <w:rFonts w:eastAsia="Times New Roman"/>
        </w:rPr>
        <w:t>Срок, в течение которого облигации могут быть досрочно погашены эмитентом</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 </w:t>
      </w:r>
    </w:p>
    <w:p w:rsidR="00617D43" w:rsidRDefault="00617D43" w:rsidP="00F0734D">
      <w:pPr>
        <w:ind w:firstLine="540"/>
        <w:jc w:val="both"/>
        <w:rPr>
          <w:rFonts w:eastAsia="Times New Roman"/>
        </w:rPr>
      </w:pPr>
      <w:r>
        <w:rPr>
          <w:rFonts w:eastAsia="Times New Roman"/>
        </w:rPr>
        <w:t> </w:t>
      </w:r>
    </w:p>
    <w:p w:rsidR="00617D43" w:rsidRDefault="00617D43" w:rsidP="00F0734D">
      <w:pPr>
        <w:ind w:firstLine="540"/>
        <w:jc w:val="both"/>
        <w:rPr>
          <w:rFonts w:eastAsia="Times New Roman"/>
        </w:rPr>
      </w:pPr>
      <w:r>
        <w:rPr>
          <w:rFonts w:eastAsia="Times New Roman"/>
        </w:rPr>
        <w:t>Дата начала досрочного погашения:</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Дата досрочного погашения, определенная Эмитентом в решении Эмитента о возможности досрочного погашения Биржевых облигаций по усмотрению Эмитента. </w:t>
      </w:r>
    </w:p>
    <w:p w:rsidR="00617D43" w:rsidRDefault="00617D43" w:rsidP="00F0734D">
      <w:pPr>
        <w:ind w:firstLine="540"/>
        <w:jc w:val="both"/>
        <w:rPr>
          <w:rFonts w:eastAsia="Times New Roman"/>
        </w:rPr>
      </w:pPr>
      <w:r>
        <w:rPr>
          <w:rFonts w:eastAsia="Times New Roman"/>
        </w:rPr>
        <w:t> </w:t>
      </w:r>
    </w:p>
    <w:p w:rsidR="00617D43" w:rsidRDefault="00617D43" w:rsidP="00F0734D">
      <w:pPr>
        <w:ind w:firstLine="540"/>
        <w:jc w:val="both"/>
        <w:rPr>
          <w:rFonts w:eastAsia="Times New Roman"/>
        </w:rPr>
      </w:pPr>
      <w:r>
        <w:rPr>
          <w:rFonts w:eastAsia="Times New Roman"/>
        </w:rPr>
        <w:t>Дата окончания досрочного погашения:</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Даты начала и окончания досрочного погашения Биржевых облигаций совпадают. </w:t>
      </w:r>
    </w:p>
    <w:p w:rsidR="00617D43" w:rsidRDefault="00617D43" w:rsidP="00F0734D">
      <w:pPr>
        <w:ind w:firstLine="540"/>
        <w:jc w:val="both"/>
        <w:rPr>
          <w:rFonts w:eastAsia="Times New Roman"/>
        </w:rPr>
      </w:pPr>
    </w:p>
    <w:p w:rsidR="00617D43" w:rsidRDefault="00617D43">
      <w:pPr>
        <w:ind w:firstLine="540"/>
        <w:jc w:val="both"/>
        <w:divId w:val="1977225192"/>
        <w:rPr>
          <w:rFonts w:eastAsia="Times New Roman"/>
        </w:rPr>
      </w:pPr>
      <w:r>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617D43" w:rsidRPr="00F0734D" w:rsidRDefault="00617D43" w:rsidP="00F0734D">
      <w:pPr>
        <w:ind w:firstLine="540"/>
        <w:jc w:val="both"/>
        <w:rPr>
          <w:rFonts w:eastAsia="Times New Roman"/>
          <w:b/>
          <w:bCs/>
          <w:i/>
          <w:iCs/>
        </w:rPr>
      </w:pPr>
      <w:r w:rsidRPr="00F0734D">
        <w:rPr>
          <w:rFonts w:eastAsia="Times New Roman"/>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617D43" w:rsidRPr="00F0734D" w:rsidRDefault="002C45BD" w:rsidP="00F0734D">
      <w:pPr>
        <w:ind w:firstLine="540"/>
        <w:jc w:val="both"/>
        <w:divId w:val="1977225192"/>
        <w:rPr>
          <w:rFonts w:eastAsia="Times New Roman"/>
          <w:b/>
          <w:bCs/>
          <w:i/>
          <w:iCs/>
        </w:rPr>
      </w:pPr>
      <w:r w:rsidRPr="00F0734D">
        <w:rPr>
          <w:rFonts w:eastAsia="Times New Roman"/>
          <w:b/>
          <w:bCs/>
          <w:i/>
          <w:iCs/>
        </w:rPr>
        <w:t xml:space="preserve">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lastRenderedPageBreak/>
        <w:t xml:space="preserve">9.5.2.2. </w:t>
      </w:r>
    </w:p>
    <w:p w:rsidR="00617D43" w:rsidRDefault="00617D43" w:rsidP="00F0734D">
      <w:pPr>
        <w:ind w:firstLine="540"/>
        <w:jc w:val="both"/>
        <w:rPr>
          <w:rFonts w:eastAsia="Times New Roman"/>
        </w:rPr>
      </w:pPr>
      <w:r>
        <w:rPr>
          <w:rFonts w:eastAsia="Times New Roman"/>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Данное решение принимается уполномоченным органом управления Эмитента.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 </w:t>
      </w:r>
    </w:p>
    <w:p w:rsidR="00617D43" w:rsidRDefault="00617D43" w:rsidP="00F0734D">
      <w:pPr>
        <w:ind w:firstLine="540"/>
        <w:jc w:val="both"/>
        <w:divId w:val="1977225192"/>
        <w:rPr>
          <w:rFonts w:eastAsia="Times New Roman"/>
        </w:rPr>
      </w:pPr>
    </w:p>
    <w:p w:rsidR="00617D43" w:rsidRDefault="00617D43" w:rsidP="00F0734D">
      <w:pPr>
        <w:ind w:firstLine="540"/>
        <w:jc w:val="both"/>
        <w:rPr>
          <w:rFonts w:eastAsia="Times New Roman"/>
        </w:rPr>
      </w:pPr>
      <w:r>
        <w:rPr>
          <w:rFonts w:eastAsia="Times New Roman"/>
        </w:rPr>
        <w:t>порядок раскрытия информации о порядке и условиях частичного досрочного погашения облигаций по усмотрению Эмитента:</w:t>
      </w:r>
    </w:p>
    <w:p w:rsidR="00617D43" w:rsidRDefault="00617D43" w:rsidP="00F0734D">
      <w:pPr>
        <w:ind w:firstLine="540"/>
        <w:jc w:val="both"/>
        <w:rPr>
          <w:rFonts w:eastAsia="Times New Roman"/>
        </w:rPr>
      </w:pPr>
    </w:p>
    <w:p w:rsidR="00617D43" w:rsidRPr="003C7F17" w:rsidRDefault="00617D43" w:rsidP="003C7F17">
      <w:pPr>
        <w:ind w:firstLine="540"/>
        <w:jc w:val="both"/>
        <w:divId w:val="1977225192"/>
        <w:rPr>
          <w:b/>
          <w:bCs/>
          <w:i/>
          <w:iCs/>
        </w:rPr>
      </w:pPr>
      <w:r w:rsidRPr="003C7F17">
        <w:rPr>
          <w:b/>
          <w:bCs/>
          <w:i/>
          <w:iCs/>
        </w:rPr>
        <w:t xml:space="preserve">Сообщение о частичном досрочном погашении Биржевых облигаций по усмотрению Эмитента раскрывается в порядке, указанном в п. 11 Программы и п.8.11 Проспекта. </w:t>
      </w:r>
    </w:p>
    <w:p w:rsidR="00617D43" w:rsidRPr="00F0734D" w:rsidRDefault="002C45BD" w:rsidP="00F0734D">
      <w:pPr>
        <w:ind w:firstLine="540"/>
        <w:jc w:val="both"/>
        <w:divId w:val="1977225192"/>
        <w:rPr>
          <w:rFonts w:eastAsia="Times New Roman"/>
          <w:b/>
          <w:bCs/>
          <w:i/>
          <w:iCs/>
        </w:rPr>
      </w:pPr>
      <w:r w:rsidRPr="00F0734D">
        <w:rPr>
          <w:rFonts w:eastAsia="Times New Roman"/>
          <w:b/>
          <w:bCs/>
          <w:i/>
          <w:iCs/>
        </w:rPr>
        <w:t xml:space="preserve"> </w:t>
      </w:r>
    </w:p>
    <w:p w:rsidR="00617D43" w:rsidRPr="003C7F17" w:rsidRDefault="00617D43" w:rsidP="003C7F17">
      <w:pPr>
        <w:ind w:firstLine="540"/>
        <w:jc w:val="both"/>
        <w:divId w:val="1977225192"/>
        <w:rPr>
          <w:b/>
          <w:bCs/>
          <w:i/>
          <w:iCs/>
        </w:rPr>
      </w:pPr>
      <w:r w:rsidRPr="003C7F17">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 </w:t>
      </w:r>
    </w:p>
    <w:p w:rsidR="00617D43" w:rsidRPr="00F0734D" w:rsidRDefault="002C45BD" w:rsidP="00F0734D">
      <w:pPr>
        <w:ind w:firstLine="540"/>
        <w:jc w:val="both"/>
        <w:divId w:val="1977225192"/>
        <w:rPr>
          <w:rFonts w:eastAsia="Times New Roman"/>
          <w:b/>
          <w:bCs/>
          <w:i/>
          <w:iCs/>
        </w:rPr>
      </w:pPr>
      <w:r w:rsidRPr="00F0734D">
        <w:rPr>
          <w:rFonts w:eastAsia="Times New Roman"/>
          <w:b/>
          <w:bCs/>
          <w:i/>
          <w:iCs/>
        </w:rPr>
        <w:t xml:space="preserve"> </w:t>
      </w:r>
    </w:p>
    <w:p w:rsidR="00617D43" w:rsidRDefault="00617D43" w:rsidP="00F0734D">
      <w:pPr>
        <w:ind w:firstLine="540"/>
        <w:jc w:val="both"/>
        <w:rPr>
          <w:rFonts w:eastAsia="Times New Roman"/>
        </w:rPr>
      </w:pPr>
      <w:r>
        <w:rPr>
          <w:rFonts w:eastAsia="Times New Roman"/>
        </w:rPr>
        <w:t>порядок и условия частичного досрочного погашения облигаций по усмотрению эмитента</w:t>
      </w:r>
    </w:p>
    <w:p w:rsidR="00617D43" w:rsidRPr="00F0734D" w:rsidRDefault="00617D43" w:rsidP="00F0734D">
      <w:pPr>
        <w:ind w:firstLine="540"/>
        <w:jc w:val="both"/>
        <w:divId w:val="1977225192"/>
        <w:rPr>
          <w:b/>
          <w:bCs/>
          <w:i/>
          <w:iCs/>
        </w:rPr>
      </w:pPr>
      <w:r w:rsidRPr="00F0734D">
        <w:t xml:space="preserve">стоимость (порядок определения стоимости) частичного досрочного погашения: </w:t>
      </w:r>
      <w:r w:rsidRPr="00F0734D">
        <w:rPr>
          <w:b/>
          <w:bCs/>
          <w:i/>
          <w:iCs/>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Общая стоимость всех досрочно погашаемых частей номинальной стоимости Биржевых облигаций в сумме равна 100% номинальной стоимости Биржевых облигаций. </w:t>
      </w:r>
    </w:p>
    <w:p w:rsidR="00617D43" w:rsidRDefault="00617D43" w:rsidP="00F0734D">
      <w:pPr>
        <w:ind w:firstLine="540"/>
        <w:jc w:val="both"/>
        <w:rPr>
          <w:rFonts w:eastAsia="Times New Roman"/>
        </w:rPr>
      </w:pPr>
      <w:r>
        <w:rPr>
          <w:rFonts w:eastAsia="Times New Roman"/>
        </w:rPr>
        <w:t> </w:t>
      </w:r>
    </w:p>
    <w:p w:rsidR="00617D43" w:rsidRDefault="00617D43" w:rsidP="00F0734D">
      <w:pPr>
        <w:ind w:firstLine="540"/>
        <w:jc w:val="both"/>
        <w:rPr>
          <w:rFonts w:eastAsia="Times New Roman"/>
        </w:rPr>
      </w:pPr>
      <w:r>
        <w:rPr>
          <w:rFonts w:eastAsia="Times New Roman"/>
        </w:rPr>
        <w:t>Срок, в течение которого облигации могут быть частично досрочно погашены эмитентом</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определенного(ых) Эмитентом в таком решении. </w:t>
      </w:r>
    </w:p>
    <w:p w:rsidR="00617D43" w:rsidRDefault="00617D43" w:rsidP="00F0734D">
      <w:pPr>
        <w:ind w:firstLine="540"/>
        <w:jc w:val="both"/>
        <w:rPr>
          <w:rFonts w:eastAsia="Times New Roman"/>
        </w:rPr>
      </w:pPr>
      <w:r>
        <w:rPr>
          <w:rFonts w:eastAsia="Times New Roman"/>
        </w:rPr>
        <w:t> </w:t>
      </w:r>
    </w:p>
    <w:p w:rsidR="00617D43" w:rsidRDefault="00617D43" w:rsidP="00F0734D">
      <w:pPr>
        <w:ind w:firstLine="540"/>
        <w:jc w:val="both"/>
        <w:rPr>
          <w:rFonts w:eastAsia="Times New Roman"/>
        </w:rPr>
      </w:pPr>
      <w:r>
        <w:rPr>
          <w:rFonts w:eastAsia="Times New Roman"/>
        </w:rPr>
        <w:t>Дата начала частичного досрочного погашения:</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облигаций. </w:t>
      </w:r>
    </w:p>
    <w:p w:rsidR="00617D43" w:rsidRDefault="00617D43" w:rsidP="00F0734D">
      <w:pPr>
        <w:ind w:firstLine="540"/>
        <w:jc w:val="both"/>
        <w:rPr>
          <w:rFonts w:eastAsia="Times New Roman"/>
        </w:rPr>
      </w:pPr>
      <w:r>
        <w:rPr>
          <w:rFonts w:eastAsia="Times New Roman"/>
        </w:rPr>
        <w:t> </w:t>
      </w:r>
    </w:p>
    <w:p w:rsidR="00617D43" w:rsidRDefault="00617D43" w:rsidP="00F0734D">
      <w:pPr>
        <w:ind w:firstLine="540"/>
        <w:jc w:val="both"/>
        <w:rPr>
          <w:rFonts w:eastAsia="Times New Roman"/>
        </w:rPr>
      </w:pPr>
      <w:r>
        <w:rPr>
          <w:rFonts w:eastAsia="Times New Roman"/>
        </w:rPr>
        <w:t>Дата окончания частичного досрочного погашения:</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Даты начала и окончания частичного досрочного погашения Биржевых облигаций совпадают. </w:t>
      </w:r>
    </w:p>
    <w:p w:rsidR="00617D43" w:rsidRDefault="00617D43">
      <w:pPr>
        <w:ind w:firstLine="540"/>
        <w:jc w:val="both"/>
        <w:divId w:val="1977225192"/>
        <w:rPr>
          <w:rFonts w:eastAsia="Times New Roman"/>
        </w:rPr>
      </w:pPr>
    </w:p>
    <w:p w:rsidR="00617D43" w:rsidRDefault="00617D43" w:rsidP="00F0734D">
      <w:pPr>
        <w:ind w:firstLine="540"/>
        <w:jc w:val="both"/>
        <w:rPr>
          <w:rFonts w:eastAsia="Times New Roman"/>
        </w:rPr>
      </w:pPr>
      <w:r>
        <w:rPr>
          <w:rFonts w:eastAsia="Times New Roman"/>
        </w:rPr>
        <w:t>порядок раскрытия (предоставления) информации об итогах частичного досрочного погашения облигаций</w:t>
      </w:r>
    </w:p>
    <w:p w:rsidR="00617D43" w:rsidRPr="003C7F17" w:rsidRDefault="00617D43" w:rsidP="003C7F17">
      <w:pPr>
        <w:ind w:firstLine="540"/>
        <w:jc w:val="both"/>
        <w:divId w:val="1977225192"/>
        <w:rPr>
          <w:b/>
          <w:bCs/>
          <w:i/>
          <w:iCs/>
        </w:rPr>
      </w:pPr>
      <w:r w:rsidRPr="003C7F17">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002C45BD" w:rsidRPr="003C7F17">
        <w:rPr>
          <w:b/>
          <w:bCs/>
          <w:i/>
          <w:iCs/>
        </w:rPr>
        <w:t xml:space="preserve"> </w:t>
      </w:r>
      <w:r w:rsidRPr="003C7F17">
        <w:rPr>
          <w:b/>
          <w:bCs/>
          <w:i/>
          <w:iCs/>
        </w:rPr>
        <w:t xml:space="preserve">и п.8.11 Проспекта. </w:t>
      </w:r>
    </w:p>
    <w:p w:rsidR="00617D43" w:rsidRPr="00F0734D" w:rsidRDefault="002C45BD" w:rsidP="00F0734D">
      <w:pPr>
        <w:ind w:firstLine="540"/>
        <w:jc w:val="both"/>
        <w:divId w:val="1977225192"/>
        <w:rPr>
          <w:rFonts w:eastAsia="Times New Roman"/>
          <w:b/>
          <w:bCs/>
          <w:i/>
          <w:iCs/>
        </w:rPr>
      </w:pPr>
      <w:r w:rsidRPr="00F0734D">
        <w:rPr>
          <w:rFonts w:eastAsia="Times New Roman"/>
          <w:b/>
          <w:bCs/>
          <w:i/>
          <w:iCs/>
        </w:rPr>
        <w:t xml:space="preserve">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9.5.2.3. </w:t>
      </w:r>
    </w:p>
    <w:p w:rsidR="00617D43" w:rsidRDefault="00617D43" w:rsidP="00F0734D">
      <w:pPr>
        <w:ind w:firstLine="540"/>
        <w:jc w:val="both"/>
        <w:rPr>
          <w:rFonts w:eastAsia="Times New Roman"/>
        </w:rPr>
      </w:pPr>
      <w:r>
        <w:rPr>
          <w:rFonts w:eastAsia="Times New Roman"/>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617D43" w:rsidRPr="00F0734D" w:rsidRDefault="00617D43" w:rsidP="00F0734D">
      <w:pPr>
        <w:ind w:firstLine="540"/>
        <w:jc w:val="both"/>
        <w:rPr>
          <w:rFonts w:eastAsia="Times New Roman"/>
          <w:b/>
          <w:bCs/>
          <w:i/>
          <w:iCs/>
        </w:rPr>
      </w:pPr>
      <w:r w:rsidRPr="00F0734D">
        <w:rPr>
          <w:rFonts w:eastAsia="Times New Roman"/>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уполномоченным органом управления Эмитента и раскрывается не позднее, чем за 14 (Четырнадцать) календарных дней до даты окончания такого купонного периода. </w:t>
      </w:r>
    </w:p>
    <w:p w:rsidR="00617D43" w:rsidRPr="00F0734D" w:rsidRDefault="00617D43" w:rsidP="00F0734D">
      <w:pPr>
        <w:ind w:firstLine="540"/>
        <w:jc w:val="both"/>
        <w:rPr>
          <w:rFonts w:eastAsia="Times New Roman"/>
          <w:b/>
          <w:bCs/>
          <w:i/>
          <w:iCs/>
        </w:rPr>
      </w:pPr>
      <w:r w:rsidRPr="00F0734D">
        <w:rPr>
          <w:rFonts w:eastAsia="Times New Roman"/>
          <w:b/>
          <w:bCs/>
          <w:i/>
          <w:iCs/>
        </w:rPr>
        <w:lastRenderedPageBreak/>
        <w:t xml:space="preserve">Приобретение Биржевых облигаций означает согласие приобретателя Биржевых облигаций с возможностью их досрочного погашения по усмотрению Эмитента. </w:t>
      </w:r>
    </w:p>
    <w:p w:rsidR="00617D43" w:rsidRDefault="00617D43" w:rsidP="00F0734D">
      <w:pPr>
        <w:ind w:firstLine="540"/>
        <w:jc w:val="both"/>
        <w:divId w:val="1977225192"/>
        <w:rPr>
          <w:rFonts w:eastAsia="Times New Roman"/>
        </w:rPr>
      </w:pPr>
    </w:p>
    <w:p w:rsidR="00617D43" w:rsidRDefault="00617D43" w:rsidP="00F0734D">
      <w:pPr>
        <w:ind w:firstLine="540"/>
        <w:jc w:val="both"/>
        <w:rPr>
          <w:rFonts w:eastAsia="Times New Roman"/>
        </w:rPr>
      </w:pPr>
      <w:r>
        <w:rPr>
          <w:rFonts w:eastAsia="Times New Roman"/>
        </w:rPr>
        <w:t>порядок раскрытия информации о порядке и условиях досрочного погашения облигаций по усмотрению Эмитента:</w:t>
      </w:r>
    </w:p>
    <w:p w:rsidR="00617D43" w:rsidRPr="002C45BD" w:rsidRDefault="00617D43" w:rsidP="002C45BD">
      <w:pPr>
        <w:ind w:firstLine="540"/>
        <w:jc w:val="both"/>
        <w:divId w:val="1977225192"/>
        <w:rPr>
          <w:b/>
          <w:bCs/>
          <w:i/>
          <w:iCs/>
        </w:rPr>
      </w:pPr>
    </w:p>
    <w:p w:rsidR="00617D43" w:rsidRPr="002C45BD" w:rsidRDefault="00617D43" w:rsidP="002C45BD">
      <w:pPr>
        <w:ind w:firstLine="540"/>
        <w:jc w:val="both"/>
        <w:divId w:val="1977225192"/>
        <w:rPr>
          <w:b/>
          <w:bCs/>
          <w:i/>
          <w:iCs/>
        </w:rPr>
      </w:pPr>
      <w:r w:rsidRPr="002C45BD">
        <w:rPr>
          <w:b/>
          <w:bCs/>
          <w:i/>
          <w:iCs/>
        </w:rPr>
        <w:t>Сообщение о досрочном погашении Биржевых облигаций по усмотрению Эмитента раскрывается в порядке, указанном в п. 11 Программы</w:t>
      </w:r>
      <w:r w:rsidR="002C45BD" w:rsidRPr="002C45BD">
        <w:rPr>
          <w:b/>
          <w:bCs/>
          <w:i/>
          <w:iCs/>
        </w:rPr>
        <w:t xml:space="preserve"> </w:t>
      </w:r>
      <w:r w:rsidRPr="002C45BD">
        <w:rPr>
          <w:b/>
          <w:bCs/>
          <w:i/>
          <w:iCs/>
        </w:rPr>
        <w:t xml:space="preserve">и п.8.11 Проспекта. </w:t>
      </w:r>
    </w:p>
    <w:p w:rsidR="00617D43" w:rsidRPr="002C45BD" w:rsidRDefault="002C45BD" w:rsidP="002C45BD">
      <w:pPr>
        <w:ind w:firstLine="540"/>
        <w:jc w:val="both"/>
        <w:divId w:val="1977225192"/>
        <w:rPr>
          <w:b/>
          <w:bCs/>
          <w:i/>
          <w:iCs/>
        </w:rPr>
      </w:pPr>
      <w:r w:rsidRPr="002C45BD">
        <w:rPr>
          <w:b/>
          <w:bCs/>
          <w:i/>
          <w:iCs/>
        </w:rPr>
        <w:t xml:space="preserve"> </w:t>
      </w:r>
    </w:p>
    <w:p w:rsidR="00617D43" w:rsidRPr="002C45BD" w:rsidRDefault="00617D43" w:rsidP="002C45BD">
      <w:pPr>
        <w:ind w:firstLine="540"/>
        <w:jc w:val="both"/>
        <w:divId w:val="1977225192"/>
        <w:rPr>
          <w:b/>
          <w:bCs/>
          <w:i/>
          <w:iCs/>
        </w:rPr>
      </w:pPr>
      <w:r w:rsidRPr="002C45BD">
        <w:rPr>
          <w:b/>
          <w:bCs/>
          <w:i/>
          <w:iCs/>
        </w:rPr>
        <w:t xml:space="preserve">Эмитент информирует Биржу и НРД о принятом решении в согласованном порядке. </w:t>
      </w:r>
    </w:p>
    <w:p w:rsidR="00617D43" w:rsidRPr="002C45BD" w:rsidRDefault="002C45BD" w:rsidP="002C45BD">
      <w:pPr>
        <w:ind w:firstLine="540"/>
        <w:jc w:val="both"/>
        <w:divId w:val="1977225192"/>
        <w:rPr>
          <w:b/>
          <w:bCs/>
          <w:i/>
          <w:iCs/>
        </w:rPr>
      </w:pPr>
      <w:r w:rsidRPr="002C45BD">
        <w:rPr>
          <w:b/>
          <w:bCs/>
          <w:i/>
          <w:iCs/>
        </w:rPr>
        <w:t xml:space="preserve"> </w:t>
      </w:r>
    </w:p>
    <w:p w:rsidR="00617D43" w:rsidRPr="002C45BD" w:rsidRDefault="00617D43" w:rsidP="002C45BD">
      <w:pPr>
        <w:ind w:firstLine="540"/>
        <w:jc w:val="both"/>
        <w:divId w:val="1977225192"/>
        <w:rPr>
          <w:b/>
          <w:bCs/>
          <w:i/>
          <w:iCs/>
        </w:rPr>
      </w:pPr>
      <w:r w:rsidRPr="002C45BD">
        <w:rPr>
          <w:b/>
          <w:bCs/>
          <w:i/>
          <w:iCs/>
        </w:rPr>
        <w:t xml:space="preserve">Также Эмитент не позднее чем за 14 (Четырнадцать) календарных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 </w:t>
      </w:r>
    </w:p>
    <w:p w:rsidR="00617D43" w:rsidRDefault="00617D43" w:rsidP="002C45BD">
      <w:pPr>
        <w:ind w:firstLine="540"/>
        <w:jc w:val="both"/>
        <w:rPr>
          <w:rFonts w:eastAsia="Times New Roman"/>
        </w:rPr>
      </w:pPr>
      <w:r>
        <w:rPr>
          <w:rFonts w:eastAsia="Times New Roman"/>
        </w:rPr>
        <w:t> </w:t>
      </w:r>
    </w:p>
    <w:p w:rsidR="00617D43" w:rsidRDefault="00617D43" w:rsidP="002C45BD">
      <w:pPr>
        <w:ind w:firstLine="540"/>
        <w:jc w:val="both"/>
        <w:rPr>
          <w:rFonts w:eastAsia="Times New Roman"/>
        </w:rPr>
      </w:pPr>
      <w:r>
        <w:rPr>
          <w:rFonts w:eastAsia="Times New Roman"/>
        </w:rPr>
        <w:t>Порядок и условия досрочного погашения облигаций по усмотрению эмитента</w:t>
      </w:r>
    </w:p>
    <w:p w:rsidR="00617D43" w:rsidRPr="00F0734D" w:rsidRDefault="00617D43" w:rsidP="00F0734D">
      <w:pPr>
        <w:ind w:firstLine="540"/>
        <w:jc w:val="both"/>
        <w:divId w:val="1977225192"/>
        <w:rPr>
          <w:rFonts w:eastAsia="Times New Roman"/>
          <w:b/>
          <w:bCs/>
          <w:i/>
          <w:iCs/>
        </w:rPr>
      </w:pPr>
      <w:r>
        <w:rPr>
          <w:rFonts w:eastAsia="Times New Roman"/>
        </w:rPr>
        <w:t>стоимость (порядок определения стоимости) досрочного погашения:</w:t>
      </w:r>
      <w:r>
        <w:rPr>
          <w:rFonts w:eastAsia="Times New Roman"/>
          <w:b/>
          <w:bCs/>
          <w:i/>
          <w:iCs/>
        </w:rPr>
        <w:t xml:space="preserve"> </w:t>
      </w:r>
      <w:r w:rsidRPr="00F0734D">
        <w:rPr>
          <w:rFonts w:eastAsia="Times New Roman"/>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rsidR="00617D43" w:rsidRDefault="00617D43" w:rsidP="002C45BD">
      <w:pPr>
        <w:ind w:firstLine="540"/>
        <w:jc w:val="both"/>
        <w:rPr>
          <w:rFonts w:eastAsia="Times New Roman"/>
        </w:rPr>
      </w:pPr>
      <w:r>
        <w:rPr>
          <w:rFonts w:eastAsia="Times New Roman"/>
        </w:rPr>
        <w:t> </w:t>
      </w:r>
    </w:p>
    <w:p w:rsidR="00617D43" w:rsidRDefault="00617D43" w:rsidP="002C45BD">
      <w:pPr>
        <w:ind w:firstLine="540"/>
        <w:jc w:val="both"/>
        <w:rPr>
          <w:rFonts w:eastAsia="Times New Roman"/>
        </w:rPr>
      </w:pPr>
      <w:r>
        <w:rPr>
          <w:rFonts w:eastAsia="Times New Roman"/>
        </w:rPr>
        <w:t>порядок раскрытия информации о порядке и условиях досрочного погашения облигаций по усмотрению Эмитента:</w:t>
      </w:r>
    </w:p>
    <w:p w:rsidR="00617D43" w:rsidRPr="00F0734D" w:rsidRDefault="00617D43" w:rsidP="00F0734D">
      <w:pPr>
        <w:ind w:firstLine="540"/>
        <w:jc w:val="both"/>
        <w:divId w:val="1977225192"/>
        <w:rPr>
          <w:b/>
          <w:bCs/>
          <w:i/>
          <w:iCs/>
        </w:rPr>
      </w:pPr>
      <w:r w:rsidRPr="00F0734D">
        <w:rPr>
          <w:b/>
          <w:bCs/>
          <w:i/>
          <w:iCs/>
        </w:rPr>
        <w:t>Сообщение о досрочном погашении Биржевых облигаций по усмотрению Эмитента раскрывается в порядке, указанном в п. 11 Программы</w:t>
      </w:r>
      <w:r w:rsidR="002C45BD" w:rsidRPr="00F0734D">
        <w:rPr>
          <w:b/>
          <w:bCs/>
          <w:i/>
          <w:iCs/>
        </w:rPr>
        <w:t xml:space="preserve"> </w:t>
      </w:r>
      <w:r w:rsidRPr="00F0734D">
        <w:rPr>
          <w:b/>
          <w:bCs/>
          <w:i/>
          <w:iCs/>
        </w:rPr>
        <w:t xml:space="preserve">и п.8.11 Проспекта. </w:t>
      </w:r>
    </w:p>
    <w:p w:rsidR="00617D43" w:rsidRDefault="00617D43" w:rsidP="002C45BD">
      <w:pPr>
        <w:ind w:firstLine="540"/>
        <w:jc w:val="both"/>
        <w:rPr>
          <w:rFonts w:eastAsia="Times New Roman"/>
        </w:rPr>
      </w:pPr>
      <w:r>
        <w:rPr>
          <w:rFonts w:eastAsia="Times New Roman"/>
        </w:rPr>
        <w:t> </w:t>
      </w:r>
    </w:p>
    <w:p w:rsidR="00617D43" w:rsidRDefault="00617D43" w:rsidP="002C45BD">
      <w:pPr>
        <w:ind w:firstLine="540"/>
        <w:jc w:val="both"/>
        <w:rPr>
          <w:rFonts w:eastAsia="Times New Roman"/>
        </w:rPr>
      </w:pPr>
      <w:r>
        <w:rPr>
          <w:rFonts w:eastAsia="Times New Roman"/>
        </w:rPr>
        <w:t>Срок, в течение которого облигации могут быть досрочно погашены эмитентом</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rsidR="00617D43" w:rsidRDefault="002C45BD" w:rsidP="002C45BD">
      <w:pPr>
        <w:ind w:firstLine="540"/>
        <w:jc w:val="both"/>
        <w:divId w:val="1977225192"/>
        <w:rPr>
          <w:rFonts w:eastAsia="Times New Roman"/>
        </w:rPr>
      </w:pPr>
      <w:r>
        <w:rPr>
          <w:rFonts w:eastAsia="Times New Roman"/>
          <w:b/>
          <w:bCs/>
          <w:i/>
          <w:iCs/>
        </w:rPr>
        <w:t xml:space="preserve"> </w:t>
      </w:r>
    </w:p>
    <w:p w:rsidR="00617D43" w:rsidRDefault="00617D43" w:rsidP="002C45BD">
      <w:pPr>
        <w:ind w:firstLine="540"/>
        <w:jc w:val="both"/>
        <w:rPr>
          <w:rFonts w:eastAsia="Times New Roman"/>
        </w:rPr>
      </w:pPr>
      <w:r>
        <w:rPr>
          <w:rFonts w:eastAsia="Times New Roman"/>
        </w:rPr>
        <w:t>Дата начала досрочного погашения:</w:t>
      </w:r>
    </w:p>
    <w:p w:rsidR="00617D43" w:rsidRPr="00617D43" w:rsidRDefault="00617D43" w:rsidP="00617D43">
      <w:pPr>
        <w:ind w:firstLine="540"/>
        <w:jc w:val="both"/>
        <w:rPr>
          <w:rFonts w:eastAsia="Times New Roman"/>
          <w:b/>
          <w:bCs/>
          <w:i/>
          <w:iCs/>
        </w:rPr>
      </w:pPr>
      <w:r w:rsidRPr="00617D43">
        <w:rPr>
          <w:rFonts w:eastAsia="Times New Roman"/>
          <w:b/>
          <w:bCs/>
          <w:i/>
          <w:iCs/>
        </w:rPr>
        <w:t xml:space="preserve">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rsidR="00617D43" w:rsidRDefault="00617D43" w:rsidP="002C45BD">
      <w:pPr>
        <w:ind w:firstLine="540"/>
        <w:jc w:val="both"/>
        <w:divId w:val="1977225192"/>
        <w:rPr>
          <w:rFonts w:eastAsia="Times New Roman"/>
        </w:rPr>
      </w:pPr>
    </w:p>
    <w:p w:rsidR="00617D43" w:rsidRDefault="00617D43" w:rsidP="002C45BD">
      <w:pPr>
        <w:ind w:firstLine="540"/>
        <w:jc w:val="both"/>
        <w:rPr>
          <w:rFonts w:eastAsia="Times New Roman"/>
        </w:rPr>
      </w:pPr>
      <w:r>
        <w:rPr>
          <w:rFonts w:eastAsia="Times New Roman"/>
        </w:rPr>
        <w:t>Дата окончания досрочного погашения:</w:t>
      </w:r>
    </w:p>
    <w:p w:rsidR="00617D43" w:rsidRPr="00617D43" w:rsidRDefault="00617D43" w:rsidP="00617D43">
      <w:pPr>
        <w:ind w:firstLine="540"/>
        <w:jc w:val="both"/>
        <w:rPr>
          <w:rFonts w:eastAsia="Times New Roman"/>
          <w:b/>
          <w:bCs/>
          <w:i/>
          <w:iCs/>
        </w:rPr>
      </w:pPr>
      <w:r w:rsidRPr="00617D43">
        <w:rPr>
          <w:rFonts w:eastAsia="Times New Roman"/>
          <w:b/>
          <w:bCs/>
          <w:i/>
          <w:iCs/>
        </w:rPr>
        <w:t xml:space="preserve">Даты начала и окончания досрочного погашения Биржевых облигаций совпадают. </w:t>
      </w:r>
    </w:p>
    <w:p w:rsidR="00617D43" w:rsidRDefault="00617D43" w:rsidP="002C45BD">
      <w:pPr>
        <w:ind w:firstLine="540"/>
        <w:jc w:val="both"/>
        <w:divId w:val="1977225192"/>
        <w:rPr>
          <w:rFonts w:eastAsia="Times New Roman"/>
        </w:rPr>
      </w:pPr>
      <w:r>
        <w:rPr>
          <w:rFonts w:eastAsia="Times New Roman"/>
        </w:rPr>
        <w:t> </w:t>
      </w:r>
    </w:p>
    <w:p w:rsidR="00617D43" w:rsidRDefault="00617D43" w:rsidP="002C45BD">
      <w:pPr>
        <w:ind w:firstLine="540"/>
        <w:jc w:val="both"/>
        <w:rPr>
          <w:rFonts w:eastAsia="Times New Roman"/>
        </w:rPr>
      </w:pPr>
      <w:r>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617D43" w:rsidRPr="00617D43" w:rsidRDefault="00617D43" w:rsidP="00617D43">
      <w:pPr>
        <w:ind w:firstLine="540"/>
        <w:jc w:val="both"/>
        <w:rPr>
          <w:rFonts w:eastAsia="Times New Roman"/>
          <w:b/>
          <w:bCs/>
          <w:i/>
          <w:iCs/>
        </w:rPr>
      </w:pPr>
      <w:r w:rsidRPr="00617D43">
        <w:rPr>
          <w:rFonts w:eastAsia="Times New Roman"/>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617D43" w:rsidRDefault="00617D43" w:rsidP="00F0734D">
      <w:pPr>
        <w:ind w:firstLine="540"/>
        <w:jc w:val="both"/>
        <w:rPr>
          <w:rFonts w:eastAsia="Times New Roman"/>
        </w:rPr>
      </w:pPr>
    </w:p>
    <w:p w:rsidR="00617D43" w:rsidRDefault="00617D43" w:rsidP="00F0734D">
      <w:pPr>
        <w:ind w:firstLine="540"/>
        <w:jc w:val="both"/>
        <w:rPr>
          <w:rFonts w:eastAsia="Times New Roman"/>
        </w:rPr>
      </w:pPr>
      <w:r>
        <w:rPr>
          <w:rFonts w:eastAsia="Times New Roman"/>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617D43" w:rsidRDefault="00617D43" w:rsidP="00F0734D">
      <w:pPr>
        <w:ind w:firstLine="540"/>
        <w:jc w:val="both"/>
        <w:divId w:val="1977225192"/>
        <w:rPr>
          <w:rFonts w:eastAsia="Times New Roman"/>
        </w:rPr>
      </w:pP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Досрочное погашение (частичное досрочное 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формы погашения Биржевых облигаций не предусмотрена. </w:t>
      </w:r>
    </w:p>
    <w:p w:rsidR="00617D43" w:rsidRPr="00F0734D" w:rsidRDefault="002C45BD" w:rsidP="00F0734D">
      <w:pPr>
        <w:ind w:firstLine="540"/>
        <w:jc w:val="both"/>
        <w:divId w:val="1977225192"/>
        <w:rPr>
          <w:rFonts w:eastAsia="Times New Roman"/>
          <w:b/>
          <w:bCs/>
          <w:i/>
          <w:iCs/>
        </w:rPr>
      </w:pPr>
      <w:r w:rsidRPr="00F0734D">
        <w:rPr>
          <w:rFonts w:eastAsia="Times New Roman"/>
          <w:b/>
          <w:bCs/>
          <w:i/>
          <w:iCs/>
        </w:rPr>
        <w:t xml:space="preserve">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Биржевые облигации, погашенные Эмитентом досрочно, не могут быть выпущены в обращение.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lastRenderedPageBreak/>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Снятие Сертификата с хранения производится после списания всех Биржевых облигаций со счетов в НРД.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617D43" w:rsidRPr="00F0734D" w:rsidRDefault="00617D43" w:rsidP="00F0734D">
      <w:pPr>
        <w:ind w:firstLine="540"/>
        <w:jc w:val="both"/>
        <w:rPr>
          <w:rFonts w:eastAsia="Times New Roman"/>
          <w:b/>
          <w:bCs/>
          <w:i/>
          <w:iCs/>
        </w:rPr>
      </w:pPr>
      <w:r w:rsidRPr="00F0734D">
        <w:rPr>
          <w:rFonts w:eastAsia="Times New Roman"/>
          <w:b/>
          <w:bCs/>
          <w:i/>
          <w:iCs/>
        </w:rPr>
        <w:t> </w:t>
      </w:r>
    </w:p>
    <w:p w:rsidR="00617D43" w:rsidRDefault="00617D43">
      <w:pPr>
        <w:ind w:firstLine="540"/>
        <w:jc w:val="both"/>
        <w:divId w:val="1977225192"/>
        <w:rPr>
          <w:rFonts w:eastAsia="Times New Roman"/>
        </w:rPr>
      </w:pPr>
      <w:r>
        <w:rPr>
          <w:rFonts w:eastAsia="Times New Roman"/>
        </w:rPr>
        <w:t>9.6. Сведения о платежных агентах по облигациям</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На дату утверждения Программы платежный агент не назначен.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617D43" w:rsidRPr="00F0734D" w:rsidRDefault="00617D43" w:rsidP="00F0734D">
      <w:pPr>
        <w:ind w:firstLine="540"/>
        <w:jc w:val="both"/>
        <w:rPr>
          <w:rFonts w:eastAsia="Times New Roman"/>
          <w:b/>
          <w:bCs/>
          <w:i/>
          <w:iCs/>
        </w:rPr>
      </w:pPr>
      <w:r w:rsidRPr="00F0734D">
        <w:rPr>
          <w:rFonts w:eastAsia="Times New Roman"/>
          <w:b/>
          <w:bCs/>
          <w:i/>
          <w:iCs/>
        </w:rPr>
        <w:t xml:space="preserve">Эмитент может назначать платежных агентов и отменять такие назначения: </w:t>
      </w:r>
    </w:p>
    <w:p w:rsidR="00617D43" w:rsidRPr="00F0734D" w:rsidRDefault="00617D43" w:rsidP="00F0734D">
      <w:pPr>
        <w:ind w:firstLine="540"/>
        <w:jc w:val="both"/>
        <w:rPr>
          <w:rFonts w:eastAsia="Times New Roman"/>
          <w:b/>
          <w:bCs/>
          <w:i/>
          <w:iCs/>
        </w:rPr>
      </w:pPr>
      <w:r w:rsidRPr="00F0734D">
        <w:rPr>
          <w:rFonts w:eastAsia="Times New Roman"/>
          <w:b/>
          <w:bCs/>
          <w:i/>
          <w:iCs/>
        </w:rPr>
        <w:t xml:space="preserve">- при осуществлении досрочного погашения Биржевых облигаций по требованию их владельцев в соответствии с п. 9.5.1 Программы и п.8.9.5.1 Проспекта; </w:t>
      </w:r>
    </w:p>
    <w:p w:rsidR="00617D43" w:rsidRPr="00F0734D" w:rsidRDefault="00617D43" w:rsidP="00F0734D">
      <w:pPr>
        <w:ind w:firstLine="540"/>
        <w:jc w:val="both"/>
        <w:rPr>
          <w:rFonts w:eastAsia="Times New Roman"/>
          <w:b/>
          <w:bCs/>
          <w:i/>
          <w:iCs/>
        </w:rPr>
      </w:pPr>
      <w:r w:rsidRPr="00F0734D">
        <w:rPr>
          <w:rFonts w:eastAsia="Times New Roman"/>
          <w:b/>
          <w:bCs/>
          <w:i/>
          <w:iCs/>
        </w:rPr>
        <w:t xml:space="preserve">-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 </w:t>
      </w:r>
    </w:p>
    <w:p w:rsidR="00617D43" w:rsidRPr="00F0734D" w:rsidRDefault="002C45BD" w:rsidP="00F0734D">
      <w:pPr>
        <w:ind w:firstLine="540"/>
        <w:jc w:val="both"/>
        <w:divId w:val="1977225192"/>
        <w:rPr>
          <w:rFonts w:eastAsia="Times New Roman"/>
          <w:b/>
          <w:bCs/>
          <w:i/>
          <w:iCs/>
        </w:rPr>
      </w:pPr>
      <w:r w:rsidRPr="00F0734D">
        <w:rPr>
          <w:rFonts w:eastAsia="Times New Roman"/>
          <w:b/>
          <w:bCs/>
          <w:i/>
          <w:iCs/>
        </w:rPr>
        <w:t xml:space="preserve">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Эмитент не может одновременно назначить нескольких платежных агентов по одному и тому же выпуску Биржевых облигаций. </w:t>
      </w:r>
    </w:p>
    <w:p w:rsidR="00617D43" w:rsidRPr="00F0734D" w:rsidRDefault="002C45BD" w:rsidP="00F0734D">
      <w:pPr>
        <w:ind w:firstLine="540"/>
        <w:jc w:val="both"/>
        <w:divId w:val="1977225192"/>
        <w:rPr>
          <w:rFonts w:eastAsia="Times New Roman"/>
          <w:b/>
          <w:bCs/>
          <w:i/>
          <w:iCs/>
        </w:rPr>
      </w:pPr>
      <w:r w:rsidRPr="00F0734D">
        <w:rPr>
          <w:rFonts w:eastAsia="Times New Roman"/>
          <w:b/>
          <w:bCs/>
          <w:i/>
          <w:iCs/>
        </w:rPr>
        <w:t xml:space="preserve">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Информация о назначении Эмитентом платежных агентов и отмене таких назначений раскрывается Эмитентом в порядке, указанном в п. 11 Программы и п.8.11 Проспекта. </w:t>
      </w:r>
    </w:p>
    <w:p w:rsidR="00617D43" w:rsidRDefault="00617D43" w:rsidP="00F0734D">
      <w:pPr>
        <w:pStyle w:val="StyleBoldJustifiedFirstline095cm"/>
        <w:divId w:val="1977225192"/>
      </w:pPr>
      <w:r>
        <w:t xml:space="preserve">10. Сведения о приобретении облигаций, которые могут быть размещены в рамках программы облигаций: </w:t>
      </w:r>
    </w:p>
    <w:p w:rsidR="00617D43" w:rsidRDefault="00617D43">
      <w:pPr>
        <w:ind w:firstLine="540"/>
        <w:jc w:val="both"/>
        <w:divId w:val="1977225192"/>
        <w:rPr>
          <w:rFonts w:eastAsia="Times New Roman"/>
        </w:rPr>
      </w:pPr>
      <w:r>
        <w:rPr>
          <w:rFonts w:eastAsia="Times New Roman"/>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Приобретение Биржевых облигаций в рамках одного отдельного выпуска осуществляется на одинаковых условиях.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Приобретение Биржевых облигаций допускается только после их полной оплаты.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Оплата Биржевых облигаций при их приобретении производится денежными средствами в безналичном порядке в валюте, в которой выражена номинальная стоимость Биржевой облигации. </w:t>
      </w:r>
    </w:p>
    <w:p w:rsidR="00617D43" w:rsidRPr="00F0734D" w:rsidRDefault="00617D43" w:rsidP="00F0734D">
      <w:pPr>
        <w:ind w:firstLine="540"/>
        <w:jc w:val="both"/>
        <w:divId w:val="1977225192"/>
        <w:rPr>
          <w:rFonts w:eastAsia="Times New Roman"/>
          <w:b/>
          <w:bCs/>
          <w:i/>
          <w:iCs/>
          <w:u w:val="single"/>
        </w:rPr>
      </w:pPr>
      <w:r w:rsidRPr="00F0734D">
        <w:rPr>
          <w:rFonts w:eastAsia="Times New Roman"/>
          <w:b/>
          <w:bCs/>
          <w:i/>
          <w:iCs/>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00F01452">
        <w:rPr>
          <w:rFonts w:eastAsia="Times New Roman"/>
          <w:b/>
          <w:bCs/>
          <w:i/>
          <w:iCs/>
          <w:u w:val="single"/>
        </w:rPr>
        <w:t>.</w:t>
      </w:r>
      <w:r w:rsidRPr="00F0734D">
        <w:rPr>
          <w:rFonts w:eastAsia="Times New Roman"/>
          <w:b/>
          <w:bCs/>
          <w:i/>
          <w:iCs/>
          <w:u w:val="single"/>
        </w:rPr>
        <w:t xml:space="preserve"> </w:t>
      </w:r>
    </w:p>
    <w:p w:rsidR="00617D43" w:rsidRDefault="00617D43" w:rsidP="00F0734D">
      <w:pPr>
        <w:pStyle w:val="StyleBoldJustifiedFirstline095cm"/>
        <w:divId w:val="1977225192"/>
      </w:pPr>
      <w:r>
        <w:t xml:space="preserve">10.1 Приобретение эмитентом облигаций по требованию их владельца (владельцев): </w:t>
      </w:r>
    </w:p>
    <w:p w:rsidR="00617D43" w:rsidRDefault="00617D43">
      <w:pPr>
        <w:ind w:firstLine="540"/>
        <w:jc w:val="both"/>
        <w:divId w:val="1977225192"/>
        <w:rPr>
          <w:rFonts w:eastAsia="Times New Roman"/>
        </w:rPr>
      </w:pP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 </w:t>
      </w:r>
    </w:p>
    <w:p w:rsidR="00617D43" w:rsidRDefault="00617D43">
      <w:pPr>
        <w:ind w:firstLine="540"/>
        <w:jc w:val="both"/>
        <w:divId w:val="1977225192"/>
        <w:rPr>
          <w:rFonts w:eastAsia="Times New Roman"/>
        </w:rPr>
      </w:pPr>
    </w:p>
    <w:p w:rsidR="00617D43" w:rsidRDefault="00617D43" w:rsidP="00F0734D">
      <w:pPr>
        <w:ind w:firstLine="540"/>
        <w:jc w:val="both"/>
        <w:divId w:val="1977225192"/>
        <w:rPr>
          <w:rFonts w:eastAsia="Times New Roman"/>
        </w:rPr>
      </w:pPr>
      <w:r>
        <w:rPr>
          <w:rFonts w:eastAsia="Times New Roman"/>
        </w:rPr>
        <w:t>Порядок и условия приобретения облигаций их эмитентом, в том числе:</w:t>
      </w:r>
    </w:p>
    <w:p w:rsidR="00617D43" w:rsidRDefault="00617D43" w:rsidP="00F0734D">
      <w:pPr>
        <w:ind w:firstLine="540"/>
        <w:jc w:val="both"/>
        <w:divId w:val="1977225192"/>
        <w:rPr>
          <w:rFonts w:eastAsia="Times New Roman"/>
        </w:rPr>
      </w:pPr>
      <w:r>
        <w:rPr>
          <w:rFonts w:eastAsia="Times New Roman"/>
        </w:rPr>
        <w:t>порядок принятия уполномоченным органом эмитента решения о приобретении облигаций:</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Принятия отдельного решения уполномоченного органа управления Эмитента о приобретении Биржевых облигаций по требованию их владельцев не требуется.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Эмитент обязуется приобрести все Биржевые облигации, заявленные к приобретению в установленный срок. </w:t>
      </w:r>
    </w:p>
    <w:p w:rsidR="00617D43" w:rsidRDefault="00617D43">
      <w:pPr>
        <w:ind w:firstLine="540"/>
        <w:jc w:val="both"/>
        <w:divId w:val="1977225192"/>
        <w:rPr>
          <w:rFonts w:eastAsia="Times New Roman"/>
        </w:rPr>
      </w:pPr>
    </w:p>
    <w:p w:rsidR="00617D43" w:rsidRDefault="00617D43" w:rsidP="00617D43">
      <w:pPr>
        <w:ind w:firstLine="540"/>
        <w:jc w:val="both"/>
        <w:divId w:val="1977225192"/>
        <w:rPr>
          <w:rFonts w:eastAsia="Times New Roman"/>
        </w:rPr>
      </w:pPr>
      <w:r>
        <w:rPr>
          <w:rFonts w:eastAsia="Times New Roman"/>
        </w:rPr>
        <w:t>порядок реализации лицами, осуществляющими права по ценным бумагам, права требовать от эмитента приобретения облигаций:</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617D43" w:rsidRPr="00F0734D" w:rsidRDefault="00617D43" w:rsidP="00F0734D">
      <w:pPr>
        <w:ind w:firstLine="540"/>
        <w:jc w:val="both"/>
        <w:divId w:val="1977225192"/>
        <w:rPr>
          <w:rFonts w:eastAsia="Times New Roman"/>
          <w:b/>
          <w:bCs/>
          <w:i/>
          <w:iCs/>
        </w:rPr>
      </w:pPr>
      <w:r w:rsidRPr="00F0734D">
        <w:rPr>
          <w:rFonts w:eastAsia="Times New Roman"/>
          <w:b/>
          <w:bCs/>
          <w:i/>
          <w:iCs/>
        </w:rPr>
        <w:t xml:space="preserve">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rsidR="00617D43" w:rsidRDefault="00617D43" w:rsidP="00617D43">
      <w:pPr>
        <w:ind w:firstLine="540"/>
        <w:jc w:val="both"/>
        <w:divId w:val="1977225192"/>
        <w:rPr>
          <w:rFonts w:eastAsia="Times New Roman"/>
        </w:rPr>
      </w:pPr>
      <w:r>
        <w:rPr>
          <w:rFonts w:eastAsia="Times New Roman"/>
        </w:rPr>
        <w:t> </w:t>
      </w:r>
    </w:p>
    <w:p w:rsidR="00617D43" w:rsidRDefault="00617D43" w:rsidP="00617D43">
      <w:pPr>
        <w:ind w:firstLine="540"/>
        <w:jc w:val="both"/>
        <w:divId w:val="1977225192"/>
        <w:rPr>
          <w:rFonts w:eastAsia="Times New Roman"/>
        </w:rPr>
      </w:pPr>
      <w:r>
        <w:rPr>
          <w:rFonts w:eastAsia="Times New Roman"/>
        </w:rPr>
        <w:t>срок (порядок определения срока) приобретения облигаций их эмитентом:</w:t>
      </w:r>
    </w:p>
    <w:p w:rsidR="00617D43" w:rsidRPr="002C45BD" w:rsidRDefault="00617D43" w:rsidP="002C45BD">
      <w:pPr>
        <w:ind w:firstLine="540"/>
        <w:jc w:val="both"/>
        <w:divId w:val="1977225192"/>
        <w:rPr>
          <w:rFonts w:eastAsia="Times New Roman"/>
          <w:b/>
          <w:bCs/>
          <w:i/>
          <w:iCs/>
          <w:u w:val="single"/>
        </w:rPr>
      </w:pPr>
      <w:r w:rsidRPr="002C45BD">
        <w:rPr>
          <w:rFonts w:eastAsia="Times New Roman"/>
          <w:b/>
          <w:bCs/>
          <w:i/>
          <w:iCs/>
          <w:u w:val="single"/>
        </w:rPr>
        <w:t xml:space="preserve">Биржевые облигации приобретаются Эмитентом в дату, определяемую в соответствии с Условиями выпуска (далее – «Дата приобретения по требованию владельцев»). </w:t>
      </w:r>
    </w:p>
    <w:p w:rsidR="00617D43" w:rsidRDefault="00617D43">
      <w:pPr>
        <w:ind w:firstLine="540"/>
        <w:jc w:val="both"/>
        <w:divId w:val="1977225192"/>
        <w:rPr>
          <w:rFonts w:eastAsia="Times New Roman"/>
        </w:rPr>
      </w:pPr>
    </w:p>
    <w:p w:rsidR="00617D43" w:rsidRDefault="00617D43" w:rsidP="00617D43">
      <w:pPr>
        <w:ind w:firstLine="540"/>
        <w:jc w:val="both"/>
        <w:divId w:val="1977225192"/>
        <w:rPr>
          <w:rFonts w:eastAsia="Times New Roman"/>
        </w:rPr>
      </w:pPr>
      <w:r>
        <w:rPr>
          <w:rFonts w:eastAsia="Times New Roman"/>
        </w:rPr>
        <w:t>порядок приобретения облигаций их эмитентом:</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w:t>
      </w:r>
      <w:r w:rsidR="002C45BD" w:rsidRPr="00053AF3">
        <w:rPr>
          <w:rFonts w:eastAsia="Times New Roman"/>
          <w:b/>
          <w:bCs/>
          <w:i/>
          <w:iCs/>
        </w:rPr>
        <w:t xml:space="preserve"> </w:t>
      </w:r>
      <w:r w:rsidRPr="00053AF3">
        <w:rPr>
          <w:rFonts w:eastAsia="Times New Roman"/>
          <w:b/>
          <w:bCs/>
          <w:i/>
          <w:iCs/>
        </w:rPr>
        <w:t xml:space="preserve">Агентом по продаже), от которых Эмитент получил требования о приобретении Биржевых облигаций, находящимся в Системе торгов к моменту совершения сделки. </w:t>
      </w:r>
    </w:p>
    <w:p w:rsidR="00617D43" w:rsidRDefault="002C45BD">
      <w:pPr>
        <w:ind w:firstLine="540"/>
        <w:jc w:val="both"/>
        <w:divId w:val="1977225192"/>
        <w:rPr>
          <w:rFonts w:eastAsia="Times New Roman"/>
        </w:rPr>
      </w:pPr>
      <w:r>
        <w:rPr>
          <w:rFonts w:eastAsia="Times New Roman"/>
          <w:b/>
          <w:bCs/>
          <w:i/>
          <w:iCs/>
        </w:rPr>
        <w:t xml:space="preserve"> </w:t>
      </w:r>
    </w:p>
    <w:p w:rsidR="00617D43" w:rsidRDefault="00617D43" w:rsidP="00617D43">
      <w:pPr>
        <w:ind w:firstLine="540"/>
        <w:jc w:val="both"/>
        <w:divId w:val="1977225192"/>
        <w:rPr>
          <w:rFonts w:eastAsia="Times New Roman"/>
        </w:rPr>
      </w:pPr>
      <w:r>
        <w:rPr>
          <w:rFonts w:eastAsia="Times New Roman"/>
        </w:rPr>
        <w:t>Цена (порядок определения цены) приобретения облигаций их эмитентом:</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617D43" w:rsidRDefault="00617D43">
      <w:pPr>
        <w:ind w:firstLine="540"/>
        <w:jc w:val="both"/>
        <w:divId w:val="1977225192"/>
        <w:rPr>
          <w:rFonts w:eastAsia="Times New Roman"/>
        </w:rPr>
      </w:pPr>
    </w:p>
    <w:p w:rsidR="00617D43" w:rsidRDefault="00617D43" w:rsidP="00617D43">
      <w:pPr>
        <w:ind w:firstLine="540"/>
        <w:jc w:val="both"/>
        <w:divId w:val="1977225192"/>
        <w:rPr>
          <w:rFonts w:eastAsia="Times New Roman"/>
        </w:rPr>
      </w:pPr>
      <w:r>
        <w:rPr>
          <w:rFonts w:eastAsia="Times New Roman"/>
        </w:rPr>
        <w:t>Порядок раскрытия эмитентом информации о порядке и условиях приобретения эмитентом облигаций по требованию их владельца (владельцев):</w:t>
      </w:r>
    </w:p>
    <w:p w:rsidR="00617D43" w:rsidRPr="00053AF3" w:rsidRDefault="00617D43" w:rsidP="00053AF3">
      <w:pPr>
        <w:ind w:firstLine="540"/>
        <w:jc w:val="both"/>
        <w:divId w:val="1977225192"/>
        <w:rPr>
          <w:b/>
          <w:bCs/>
          <w:i/>
          <w:iCs/>
        </w:rPr>
      </w:pPr>
      <w:r w:rsidRPr="00053AF3">
        <w:rPr>
          <w:b/>
          <w:bCs/>
          <w:i/>
          <w:iCs/>
        </w:rPr>
        <w:t xml:space="preserve">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rsidR="00617D43" w:rsidRPr="00053AF3" w:rsidRDefault="00617D43" w:rsidP="00053AF3">
      <w:pPr>
        <w:ind w:firstLine="540"/>
        <w:jc w:val="both"/>
        <w:divId w:val="1977225192"/>
        <w:rPr>
          <w:b/>
          <w:bCs/>
          <w:i/>
          <w:iCs/>
        </w:rPr>
      </w:pPr>
      <w:r w:rsidRPr="00053AF3">
        <w:rPr>
          <w:b/>
          <w:bCs/>
          <w:i/>
          <w:iCs/>
        </w:rPr>
        <w:t>1)</w:t>
      </w:r>
      <w:r w:rsidR="002C45BD" w:rsidRPr="00053AF3">
        <w:rPr>
          <w:b/>
          <w:bCs/>
          <w:i/>
          <w:iCs/>
        </w:rPr>
        <w:t xml:space="preserve"> </w:t>
      </w:r>
      <w:r w:rsidRPr="00053AF3">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617D43" w:rsidRPr="00053AF3" w:rsidRDefault="00617D43" w:rsidP="00053AF3">
      <w:pPr>
        <w:ind w:firstLine="540"/>
        <w:jc w:val="both"/>
        <w:divId w:val="1977225192"/>
        <w:rPr>
          <w:b/>
          <w:bCs/>
          <w:i/>
          <w:iCs/>
        </w:rPr>
      </w:pPr>
      <w:r w:rsidRPr="00053AF3">
        <w:rPr>
          <w:b/>
          <w:bCs/>
          <w:i/>
          <w:iCs/>
        </w:rPr>
        <w:t>2)</w:t>
      </w:r>
      <w:r w:rsidR="002C45BD" w:rsidRPr="00053AF3">
        <w:rPr>
          <w:b/>
          <w:bCs/>
          <w:i/>
          <w:iCs/>
        </w:rPr>
        <w:t xml:space="preserve"> </w:t>
      </w:r>
      <w:r w:rsidRPr="00053AF3">
        <w:rPr>
          <w:b/>
          <w:bCs/>
          <w:i/>
          <w:iCs/>
        </w:rPr>
        <w:t xml:space="preserve">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rsidR="00617D43" w:rsidRDefault="00617D43">
      <w:pPr>
        <w:ind w:firstLine="540"/>
        <w:jc w:val="both"/>
        <w:divId w:val="1977225192"/>
        <w:rPr>
          <w:rFonts w:eastAsia="Times New Roman"/>
        </w:rPr>
      </w:pPr>
    </w:p>
    <w:p w:rsidR="00617D43" w:rsidRDefault="00617D43" w:rsidP="00617D43">
      <w:pPr>
        <w:ind w:firstLine="540"/>
        <w:jc w:val="both"/>
        <w:divId w:val="1977225192"/>
        <w:rPr>
          <w:rFonts w:eastAsia="Times New Roman"/>
        </w:rPr>
      </w:pPr>
      <w:r>
        <w:rPr>
          <w:rFonts w:eastAsia="Times New Roman"/>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 </w:t>
      </w:r>
    </w:p>
    <w:p w:rsidR="00617D43" w:rsidRDefault="00617D43" w:rsidP="003C7F17">
      <w:pPr>
        <w:pStyle w:val="StyleBoldJustifiedFirstline095cm"/>
        <w:divId w:val="1977225192"/>
      </w:pPr>
      <w:r>
        <w:t xml:space="preserve">10.2 Приобретение эмитентом облигаций по соглашению с их владельцами (владельцем): </w:t>
      </w:r>
    </w:p>
    <w:p w:rsidR="00617D43" w:rsidRDefault="00617D43">
      <w:pPr>
        <w:ind w:firstLine="540"/>
        <w:jc w:val="both"/>
        <w:divId w:val="1977225192"/>
        <w:rPr>
          <w:rFonts w:eastAsia="Times New Roman"/>
        </w:rPr>
      </w:pP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Порядок и условия приобретения облигаций их эмитентом, в том числе:</w:t>
      </w:r>
    </w:p>
    <w:p w:rsidR="00617D43" w:rsidRDefault="00617D43">
      <w:pPr>
        <w:ind w:firstLine="540"/>
        <w:jc w:val="both"/>
        <w:divId w:val="1977225192"/>
        <w:rPr>
          <w:rFonts w:eastAsia="Times New Roman"/>
        </w:rPr>
      </w:pPr>
      <w:r>
        <w:rPr>
          <w:rFonts w:eastAsia="Times New Roman"/>
        </w:rPr>
        <w:t>порядок принятия уполномоченным органом эмитента решения о приобретении облигаций:</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Возможно неоднократное принятие решений о приобретении Биржевых облигаций. </w:t>
      </w:r>
    </w:p>
    <w:p w:rsidR="00617D43" w:rsidRDefault="00617D43">
      <w:pPr>
        <w:ind w:firstLine="540"/>
        <w:jc w:val="both"/>
        <w:divId w:val="1977225192"/>
        <w:rPr>
          <w:rFonts w:eastAsia="Times New Roman"/>
        </w:rPr>
      </w:pPr>
      <w:r>
        <w:rPr>
          <w:rFonts w:eastAsia="Times New Roman"/>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 </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дату принятия решения о приобретении (выкупе) Биржевых облигаций;</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серию и форму Биржевых облигаций, идентификационный номер выпуска Биржевых облигаций;</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количество приобретаемых Биржевых облигаций;</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дату начала приобретения Эмитентом Биржевых облигаций;</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дату окончания приобретения Биржевых облигаций;</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цену приобретения Биржевых облигаций или порядок ее определения;</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порядок приобретения Биржевых облигаций;</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форму и срок оплаты;</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617D43" w:rsidRPr="00053AF3" w:rsidRDefault="00617D43" w:rsidP="00053AF3">
      <w:pPr>
        <w:ind w:firstLine="540"/>
        <w:jc w:val="both"/>
        <w:divId w:val="1977225192"/>
        <w:rPr>
          <w:b/>
          <w:bCs/>
          <w:i/>
          <w:iCs/>
        </w:rPr>
      </w:pPr>
      <w:r w:rsidRPr="00053AF3">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rsidR="00617D43" w:rsidRDefault="00617D43">
      <w:pPr>
        <w:ind w:firstLine="540"/>
        <w:jc w:val="both"/>
        <w:divId w:val="1977225192"/>
        <w:rPr>
          <w:rFonts w:eastAsia="Times New Roman"/>
        </w:rPr>
      </w:pPr>
    </w:p>
    <w:p w:rsidR="00617D43" w:rsidRPr="00053AF3" w:rsidRDefault="00617D43" w:rsidP="00053AF3">
      <w:pPr>
        <w:ind w:firstLine="540"/>
        <w:jc w:val="both"/>
        <w:divId w:val="1977225192"/>
      </w:pPr>
      <w:r w:rsidRPr="00053AF3">
        <w:t>срок (порядок определения срока) приобретения облигаций их эмитентом:</w:t>
      </w:r>
    </w:p>
    <w:p w:rsidR="00617D43" w:rsidRPr="00053AF3" w:rsidRDefault="00617D43" w:rsidP="00053AF3">
      <w:pPr>
        <w:ind w:firstLine="540"/>
        <w:jc w:val="both"/>
        <w:divId w:val="1977225192"/>
        <w:rPr>
          <w:b/>
          <w:bCs/>
          <w:i/>
          <w:iCs/>
        </w:rPr>
      </w:pPr>
      <w:r w:rsidRPr="00053AF3">
        <w:rPr>
          <w:b/>
          <w:bCs/>
          <w:i/>
          <w:iCs/>
        </w:rPr>
        <w:t xml:space="preserve">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порядок приобретения облигаций их эмитентом:</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Информация об указанном решении публикуется Эмитентом в порядке и сроки, указанные в п. 11 Программы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Цена (порядок определения цены) приобретения облигаций их эмитентом:</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Порядок раскрытия эмитентом информации о порядке и условиях приобретения эмитентом облигаций по соглашению с их владельцами.</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rsidR="00617D43" w:rsidRDefault="00617D43">
      <w:pPr>
        <w:ind w:firstLine="540"/>
        <w:jc w:val="both"/>
        <w:divId w:val="1977225192"/>
        <w:rPr>
          <w:rFonts w:eastAsia="Times New Roman"/>
        </w:rPr>
      </w:pPr>
    </w:p>
    <w:p w:rsidR="00617D43" w:rsidRDefault="00617D43">
      <w:pPr>
        <w:ind w:firstLine="540"/>
        <w:jc w:val="both"/>
        <w:divId w:val="1977225192"/>
        <w:rPr>
          <w:rFonts w:eastAsia="Times New Roman"/>
        </w:rPr>
      </w:pPr>
      <w:r>
        <w:rPr>
          <w:rFonts w:eastAsia="Times New Roman"/>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 </w:t>
      </w:r>
    </w:p>
    <w:p w:rsidR="00617D43" w:rsidRDefault="00617D43" w:rsidP="00053AF3">
      <w:pPr>
        <w:pStyle w:val="StyleBoldJustifiedFirstline095cm"/>
        <w:divId w:val="1977225192"/>
      </w:pPr>
      <w:r>
        <w:t xml:space="preserve">11. Порядок раскрытия эмитентом информации о выпуске (дополнительном выпуске) облигаций, которые могут быть размещены в рамках программы облигаций: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Раскрытие информации о выпуске Биржевых облигаций, которые могут быть размещены в рамках Программы облигаций, осуществляется в следующем порядке.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Программой и Проспектом.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https://www.e-disclosure.ru/portal/company.aspx?id=17149. </w:t>
      </w:r>
    </w:p>
    <w:p w:rsidR="00617D43" w:rsidRPr="00053AF3" w:rsidRDefault="00617D43" w:rsidP="00441F5E">
      <w:pPr>
        <w:ind w:firstLine="540"/>
        <w:jc w:val="both"/>
        <w:divId w:val="1977225192"/>
        <w:rPr>
          <w:rFonts w:eastAsia="Times New Roman"/>
          <w:b/>
          <w:bCs/>
          <w:i/>
          <w:iCs/>
        </w:rPr>
      </w:pPr>
      <w:r w:rsidRPr="00053AF3">
        <w:rPr>
          <w:rFonts w:eastAsia="Times New Roman"/>
          <w:b/>
          <w:bCs/>
          <w:i/>
          <w:iCs/>
        </w:rPr>
        <w:t xml:space="preserve">Ранее и далее по тексту раскрытие информации "на странице в </w:t>
      </w:r>
      <w:r w:rsidR="00441F5E" w:rsidRPr="00053AF3">
        <w:rPr>
          <w:rFonts w:eastAsia="Times New Roman"/>
          <w:b/>
          <w:bCs/>
          <w:i/>
          <w:iCs/>
        </w:rPr>
        <w:t>Сети</w:t>
      </w:r>
      <w:r w:rsidRPr="00053AF3">
        <w:rPr>
          <w:rFonts w:eastAsia="Times New Roman"/>
          <w:b/>
          <w:bCs/>
          <w:i/>
          <w:iCs/>
        </w:rPr>
        <w:t xml:space="preserve"> Интернет" означает раскрытие информации на странице в </w:t>
      </w:r>
      <w:r w:rsidR="00441F5E" w:rsidRPr="00053AF3">
        <w:rPr>
          <w:rFonts w:eastAsia="Times New Roman"/>
          <w:b/>
          <w:bCs/>
          <w:i/>
          <w:iCs/>
        </w:rPr>
        <w:t>Сети</w:t>
      </w:r>
      <w:r w:rsidRPr="00053AF3">
        <w:rPr>
          <w:rFonts w:eastAsia="Times New Roman"/>
          <w:b/>
          <w:bCs/>
          <w:i/>
          <w:iCs/>
        </w:rPr>
        <w:t xml:space="preserve"> Интернет, предоставляемой одним из распространителей информации на рынке ценных бумаг по адресу: https://www.e-disclosure.ru/portal/company.aspx?id=17149. </w:t>
      </w:r>
    </w:p>
    <w:p w:rsidR="00617D43" w:rsidRPr="00053AF3" w:rsidRDefault="00617D43" w:rsidP="00053AF3">
      <w:pPr>
        <w:ind w:firstLine="540"/>
        <w:jc w:val="both"/>
        <w:divId w:val="1977225192"/>
        <w:rPr>
          <w:rFonts w:eastAsia="Times New Roman"/>
          <w:b/>
          <w:bCs/>
          <w:i/>
          <w:iCs/>
        </w:rPr>
      </w:pP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 Информация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 заседания) уполномоченного органа управления Эмитента, на котором принято решение об утверждении Программы: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2) Информация об утверждении Условий выпуска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Эмитентом решения об утверждении Условий выпуска: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3)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4) Порядок раскрытия информации о присвоении идентификационного номера Биржевым облигациям:</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4.1) Информация о присвоении идентификационного номера Программе публикуется Эмитентом в форме сообщения о существенном факте в следующие сроки с даты опубликования на странице Биржи в Сети Интернет информации о присвоении Программе идентификационного номера или получения Эмитентом письменного уведомления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 :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b/>
          <w:bCs/>
          <w:i/>
          <w:iCs/>
        </w:rPr>
        <w:t xml:space="preserve"> </w:t>
      </w:r>
      <w:r w:rsidRPr="00053AF3">
        <w:rPr>
          <w:rFonts w:eastAsia="Times New Roman"/>
          <w:b/>
          <w:bCs/>
          <w:i/>
          <w:iCs/>
        </w:rPr>
        <w:t>в Ленте новостей - не позднее 1 (Одного) календарного дня;</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b/>
          <w:bCs/>
          <w:i/>
          <w:iCs/>
        </w:rPr>
        <w:t xml:space="preserve"> </w:t>
      </w:r>
      <w:r w:rsidRPr="00053AF3">
        <w:rPr>
          <w:rFonts w:eastAsia="Times New Roman"/>
          <w:b/>
          <w:bCs/>
          <w:i/>
          <w:iCs/>
        </w:rPr>
        <w:t xml:space="preserve">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4.2) Информация о присвоении идентификационного номера отдельному выпуску Биржевых облигаций публикуется Эмитентом в форме сообщения о существенном факте в следующие сроки с даты опубликования</w:t>
      </w:r>
      <w:r w:rsidR="002C45BD" w:rsidRPr="00053AF3">
        <w:rPr>
          <w:rFonts w:eastAsia="Times New Roman"/>
          <w:b/>
          <w:bCs/>
          <w:i/>
          <w:iCs/>
        </w:rPr>
        <w:t xml:space="preserve"> </w:t>
      </w:r>
      <w:r w:rsidRPr="00053AF3">
        <w:rPr>
          <w:rFonts w:eastAsia="Times New Roman"/>
          <w:b/>
          <w:bCs/>
          <w:i/>
          <w:iCs/>
        </w:rPr>
        <w:t xml:space="preserve">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на странице в Сети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6) Порядок публикации текстов эмиссионных документов по Биржевым облигациям:</w:t>
      </w:r>
    </w:p>
    <w:p w:rsidR="00617D43" w:rsidRPr="00053AF3" w:rsidRDefault="00617D43" w:rsidP="00053AF3">
      <w:pPr>
        <w:ind w:firstLine="540"/>
        <w:jc w:val="both"/>
        <w:divId w:val="1977225192"/>
        <w:rPr>
          <w:rFonts w:eastAsia="Times New Roman"/>
          <w:b/>
          <w:bCs/>
          <w:i/>
          <w:iCs/>
        </w:rPr>
      </w:pP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6.1 Эмитент обязан опубликовать текст представленной бирже Программы и текст представленного бирже Проспекта на странице в Сети Интернет в срок не позднее даты начала размещения первого выпуска Биржевых облигаций в рамках Программы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При публикации текста представленной бирже Программы и текста представленного бирже Проспекта на странице в Сети Интернет 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Текст представленной бирже Программы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Запрещается размещение Биржевых облигаций в рамках Программы ранее даты, с которой Эмитент предоставляет доступ к Программе.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6.2 В срок не позднее даты начала размещения Биржевых облигаций, Эмитент публикует текст Условий выпуска на странице в Сети Интернет.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6.3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адресу Эмитента, указанному в ЕГРЮЛ</w:t>
      </w:r>
      <w:r w:rsidR="00F01452">
        <w:rPr>
          <w:rFonts w:eastAsia="Times New Roman"/>
          <w:b/>
          <w:bCs/>
          <w:i/>
          <w:iCs/>
        </w:rPr>
        <w:t>.</w:t>
      </w: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7) Порядок раскрытия информации о досрочном погашении Биржевых облигаций по усмотрению Эмитента:</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7.1)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7.1.1. Сообщение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возможности досрочного погашения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b/>
          <w:bCs/>
          <w:i/>
          <w:iCs/>
        </w:rPr>
        <w:t xml:space="preserve"> </w:t>
      </w:r>
      <w:r w:rsidRPr="00053AF3">
        <w:rPr>
          <w:rFonts w:eastAsia="Times New Roman"/>
          <w:b/>
          <w:bCs/>
          <w:i/>
          <w:iCs/>
        </w:rPr>
        <w:t>в Ленте новостей - не позднее 1 (Одного) календарного дня;</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b/>
          <w:bCs/>
          <w:i/>
          <w:iCs/>
        </w:rPr>
        <w:t xml:space="preserve"> </w:t>
      </w:r>
      <w:r w:rsidRPr="00053AF3">
        <w:rPr>
          <w:rFonts w:eastAsia="Times New Roman"/>
          <w:b/>
          <w:bCs/>
          <w:i/>
          <w:iCs/>
        </w:rPr>
        <w:t>на странице в Сети Интернет - не позднее 2 (Двух) календарных дней.</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Данное сообщение среди прочих сведений должно включать в себя также дату/даты, в которую/которые</w:t>
      </w:r>
      <w:r w:rsidR="002C45BD" w:rsidRPr="00053AF3">
        <w:rPr>
          <w:rFonts w:eastAsia="Times New Roman"/>
          <w:b/>
          <w:bCs/>
          <w:i/>
          <w:iCs/>
        </w:rPr>
        <w:t xml:space="preserve"> </w:t>
      </w:r>
      <w:r w:rsidRPr="00053AF3">
        <w:rPr>
          <w:rFonts w:eastAsia="Times New Roman"/>
          <w:b/>
          <w:bCs/>
          <w:i/>
          <w:iCs/>
        </w:rPr>
        <w:t xml:space="preserve">возможно досрочное погашение Биржевых облигаций по усмотрению Эмитента.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7.1.2. 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уполномоченным органом управления Эмитента решения о досрочном погашении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b/>
          <w:bCs/>
          <w:i/>
          <w:iCs/>
        </w:rPr>
        <w:t xml:space="preserve"> </w:t>
      </w:r>
      <w:r w:rsidRPr="00053AF3">
        <w:rPr>
          <w:rFonts w:eastAsia="Times New Roman"/>
          <w:b/>
          <w:bCs/>
          <w:i/>
          <w:iCs/>
        </w:rPr>
        <w:t>в Ленте новостей - не позднее 1 (Одного) календарного дня;</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b/>
          <w:bCs/>
          <w:i/>
          <w:iCs/>
        </w:rPr>
        <w:t xml:space="preserve"> </w:t>
      </w:r>
      <w:r w:rsidRPr="00053AF3">
        <w:rPr>
          <w:rFonts w:eastAsia="Times New Roman"/>
          <w:b/>
          <w:bCs/>
          <w:i/>
          <w:iCs/>
        </w:rPr>
        <w:t>на странице в Сети Интернет - не позднее 2 (Двух) календарных дней.</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7.2) Сообщение о</w:t>
      </w:r>
      <w:r w:rsidR="002C45BD" w:rsidRPr="00053AF3">
        <w:rPr>
          <w:rFonts w:eastAsia="Times New Roman"/>
          <w:b/>
          <w:bCs/>
          <w:i/>
          <w:iCs/>
        </w:rPr>
        <w:t xml:space="preserve"> </w:t>
      </w:r>
      <w:r w:rsidRPr="00053AF3">
        <w:rPr>
          <w:rFonts w:eastAsia="Times New Roman"/>
          <w:b/>
          <w:bCs/>
          <w:i/>
          <w:iCs/>
        </w:rPr>
        <w:t xml:space="preserve">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частичном досрочном погашении Биржевых облигаций в дату окончания очередного(ых) купонного(ых) периода(ов): </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в Ленте новостей - не позднее 1 (Одного) календарного дня;</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на странице в Сети Интернет - не позднее 2 (Двух) календарных дней.</w:t>
      </w:r>
    </w:p>
    <w:p w:rsidR="00617D43" w:rsidRPr="00053AF3" w:rsidRDefault="00617D43" w:rsidP="00053AF3">
      <w:pPr>
        <w:ind w:firstLine="540"/>
        <w:jc w:val="both"/>
        <w:divId w:val="1977225192"/>
        <w:rPr>
          <w:b/>
          <w:bCs/>
          <w:i/>
          <w:iCs/>
        </w:rPr>
      </w:pPr>
      <w:r w:rsidRPr="00053AF3">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rsidR="00617D43" w:rsidRPr="00053AF3" w:rsidRDefault="002C45BD" w:rsidP="00053AF3">
      <w:pPr>
        <w:ind w:firstLine="540"/>
        <w:jc w:val="both"/>
        <w:divId w:val="1977225192"/>
        <w:rPr>
          <w:b/>
          <w:bCs/>
          <w:i/>
          <w:iCs/>
        </w:rPr>
      </w:pPr>
      <w:r w:rsidRPr="00053AF3">
        <w:rPr>
          <w:b/>
          <w:bCs/>
          <w:i/>
          <w:iCs/>
        </w:rPr>
        <w:t xml:space="preserve"> </w:t>
      </w:r>
    </w:p>
    <w:p w:rsidR="00617D43" w:rsidRPr="00053AF3" w:rsidRDefault="00617D43" w:rsidP="00053AF3">
      <w:pPr>
        <w:ind w:firstLine="540"/>
        <w:jc w:val="both"/>
        <w:divId w:val="1977225192"/>
        <w:rPr>
          <w:b/>
          <w:bCs/>
          <w:i/>
          <w:iCs/>
        </w:rPr>
      </w:pPr>
      <w:r w:rsidRPr="00053AF3">
        <w:rPr>
          <w:b/>
          <w:bCs/>
          <w:i/>
          <w:iCs/>
        </w:rPr>
        <w:t xml:space="preserve">7.3)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rsidR="00617D43" w:rsidRPr="00053AF3" w:rsidRDefault="00617D43" w:rsidP="00053AF3">
      <w:pPr>
        <w:ind w:firstLine="540"/>
        <w:jc w:val="both"/>
        <w:divId w:val="1977225192"/>
        <w:rPr>
          <w:b/>
          <w:bCs/>
          <w:i/>
          <w:iCs/>
        </w:rPr>
      </w:pPr>
      <w:r w:rsidRPr="00053AF3">
        <w:rPr>
          <w:b/>
          <w:bCs/>
          <w:i/>
          <w:iCs/>
        </w:rPr>
        <w:t xml:space="preserve">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уполномоченным органом управления Эмитента решения о досрочном погашении Биржевых облигаций: </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в Ленте новостей - не позднее 1 (Одного) календарного дня;</w:t>
      </w:r>
    </w:p>
    <w:p w:rsidR="00617D43" w:rsidRPr="00053AF3" w:rsidRDefault="00617D43" w:rsidP="00053AF3">
      <w:pPr>
        <w:ind w:firstLine="540"/>
        <w:jc w:val="both"/>
        <w:divId w:val="1977225192"/>
        <w:rPr>
          <w:b/>
          <w:bCs/>
          <w:i/>
          <w:iCs/>
        </w:rPr>
      </w:pPr>
      <w:r w:rsidRPr="00053AF3">
        <w:rPr>
          <w:b/>
          <w:bCs/>
          <w:i/>
          <w:iCs/>
        </w:rPr>
        <w:t>-</w:t>
      </w:r>
      <w:r w:rsidR="002C45BD" w:rsidRPr="00053AF3">
        <w:rPr>
          <w:b/>
          <w:bCs/>
          <w:i/>
          <w:iCs/>
        </w:rPr>
        <w:t xml:space="preserve"> </w:t>
      </w:r>
      <w:r w:rsidRPr="00053AF3">
        <w:rPr>
          <w:b/>
          <w:bCs/>
          <w:i/>
          <w:iCs/>
        </w:rPr>
        <w:t>на странице в Сети Интернет - не позднее 2 (Двух) календарных дней.</w:t>
      </w:r>
    </w:p>
    <w:p w:rsidR="00617D43" w:rsidRPr="00053AF3" w:rsidRDefault="002C45BD" w:rsidP="00053AF3">
      <w:pPr>
        <w:ind w:firstLine="540"/>
        <w:jc w:val="both"/>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rPr>
          <w:rFonts w:eastAsia="Times New Roman"/>
          <w:b/>
          <w:bCs/>
          <w:i/>
          <w:iCs/>
        </w:rPr>
      </w:pPr>
      <w:r w:rsidRPr="00053AF3">
        <w:rPr>
          <w:rFonts w:eastAsia="Times New Roman"/>
          <w:b/>
          <w:bCs/>
          <w:i/>
          <w:iCs/>
        </w:rPr>
        <w:t>8) Порядок раскрытия информации о сроке размещения Биржевых облигаций:</w:t>
      </w:r>
    </w:p>
    <w:p w:rsidR="00617D43" w:rsidRPr="00053AF3" w:rsidRDefault="002C45BD" w:rsidP="00053AF3">
      <w:pPr>
        <w:ind w:firstLine="540"/>
        <w:jc w:val="both"/>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rPr>
          <w:rFonts w:eastAsia="Times New Roman"/>
          <w:b/>
          <w:bCs/>
          <w:i/>
          <w:iCs/>
        </w:rPr>
      </w:pPr>
      <w:r w:rsidRPr="00053AF3">
        <w:rPr>
          <w:rFonts w:eastAsia="Times New Roman"/>
          <w:b/>
          <w:bCs/>
          <w:i/>
          <w:iCs/>
        </w:rPr>
        <w:t xml:space="preserve">8.1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 </w:t>
      </w:r>
    </w:p>
    <w:p w:rsidR="00617D43" w:rsidRPr="00053AF3" w:rsidRDefault="00617D43" w:rsidP="00053AF3">
      <w:pPr>
        <w:ind w:firstLine="540"/>
        <w:jc w:val="both"/>
        <w:rPr>
          <w:rFonts w:eastAsia="Times New Roman"/>
          <w:b/>
          <w:bCs/>
          <w:i/>
          <w:iCs/>
        </w:rPr>
      </w:pPr>
      <w:r w:rsidRPr="00053AF3">
        <w:rPr>
          <w:rFonts w:eastAsia="Times New Roman"/>
          <w:b/>
          <w:bCs/>
          <w:i/>
          <w:iCs/>
        </w:rPr>
        <w:t xml:space="preserve">- в Ленте новостей - не позднее, чем за 1 (Один) календарный день до даты начала размещения Биржевых облигаций; </w:t>
      </w:r>
    </w:p>
    <w:p w:rsidR="00617D43" w:rsidRDefault="00617D43" w:rsidP="003C7F17">
      <w:pPr>
        <w:rPr>
          <w:rFonts w:eastAsia="Times New Roman"/>
        </w:rPr>
      </w:pPr>
      <w:r>
        <w:rPr>
          <w:rFonts w:eastAsia="Times New Roman"/>
          <w:b/>
          <w:bCs/>
          <w:i/>
          <w:iCs/>
        </w:rPr>
        <w:t>- на странице в Сети Интернет - не позднее, чем за 1 (Один) календарный день до даты начала размещения Биржевых облигаций.</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rPr>
          <w:rFonts w:eastAsia="Times New Roman"/>
          <w:b/>
          <w:bCs/>
          <w:i/>
          <w:iCs/>
        </w:rPr>
      </w:pPr>
      <w:r w:rsidRPr="00053AF3">
        <w:rPr>
          <w:rFonts w:eastAsia="Times New Roman"/>
          <w:b/>
          <w:bCs/>
          <w:i/>
          <w:iCs/>
        </w:rPr>
        <w:t xml:space="preserve">8.2 В случае принятия Эмитентом решения об изменении (переносе) даты начала размещения ценных бумаг, раскрытой в порядке, предусмотренном выше, и которая не была установлена в Условиях выпуска, 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 </w:t>
      </w:r>
    </w:p>
    <w:p w:rsidR="00617D43" w:rsidRPr="00053AF3" w:rsidRDefault="00617D43" w:rsidP="00053AF3">
      <w:pPr>
        <w:ind w:firstLine="540"/>
        <w:jc w:val="both"/>
        <w:rPr>
          <w:rFonts w:eastAsia="Times New Roman"/>
          <w:b/>
          <w:bCs/>
          <w:i/>
          <w:iCs/>
        </w:rPr>
      </w:pPr>
    </w:p>
    <w:p w:rsidR="00617D43" w:rsidRPr="00053AF3" w:rsidRDefault="00617D43" w:rsidP="00053AF3">
      <w:pPr>
        <w:ind w:firstLine="540"/>
        <w:jc w:val="both"/>
        <w:rPr>
          <w:rFonts w:eastAsia="Times New Roman"/>
          <w:b/>
          <w:bCs/>
          <w:i/>
          <w:iCs/>
        </w:rPr>
      </w:pPr>
      <w:r w:rsidRPr="00053AF3">
        <w:rPr>
          <w:rFonts w:eastAsia="Times New Roman"/>
          <w:b/>
          <w:bCs/>
          <w:i/>
          <w:iCs/>
        </w:rPr>
        <w:t xml:space="preserve">В соответствии с п. 26.12 Положения о раскрытии информации эмитентами эмиссионных ценных бумаг (утв. Банком России 30.12.2014 № 454-П) (далее и ранее - "Положение о раскрытии информации "),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 раскрытие сообщения о существенном факте о начале размещения ценных бумаг не требуется. </w:t>
      </w:r>
    </w:p>
    <w:p w:rsidR="00617D43" w:rsidRPr="00053AF3" w:rsidRDefault="00617D43" w:rsidP="00053AF3">
      <w:pPr>
        <w:ind w:firstLine="540"/>
        <w:jc w:val="both"/>
        <w:rPr>
          <w:rFonts w:eastAsia="Times New Roman"/>
          <w:b/>
          <w:bCs/>
          <w:i/>
          <w:iCs/>
        </w:rPr>
      </w:pPr>
    </w:p>
    <w:p w:rsidR="00617D43" w:rsidRPr="00053AF3" w:rsidRDefault="00617D43" w:rsidP="00053AF3">
      <w:pPr>
        <w:ind w:firstLine="540"/>
        <w:jc w:val="both"/>
        <w:rPr>
          <w:rFonts w:eastAsia="Times New Roman"/>
          <w:b/>
          <w:bCs/>
          <w:i/>
          <w:iCs/>
        </w:rPr>
      </w:pPr>
      <w:r w:rsidRPr="00053AF3">
        <w:rPr>
          <w:rFonts w:eastAsia="Times New Roman"/>
          <w:b/>
          <w:bCs/>
          <w:i/>
          <w:iCs/>
        </w:rPr>
        <w:t xml:space="preserve">8.3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 </w:t>
      </w:r>
    </w:p>
    <w:p w:rsidR="00617D43" w:rsidRPr="00053AF3" w:rsidRDefault="00617D43" w:rsidP="00053AF3">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9) В случае если информация о выбранной форме размещения Биржевых облигаций не указана в Условиях выпуска или решение о форме</w:t>
      </w:r>
      <w:r w:rsidR="002C45BD" w:rsidRPr="00053AF3">
        <w:rPr>
          <w:rFonts w:eastAsia="Times New Roman"/>
          <w:b/>
          <w:bCs/>
          <w:i/>
          <w:iCs/>
        </w:rPr>
        <w:t xml:space="preserve"> </w:t>
      </w:r>
      <w:r w:rsidRPr="00053AF3">
        <w:rPr>
          <w:rFonts w:eastAsia="Times New Roman"/>
          <w:b/>
          <w:bCs/>
          <w:i/>
          <w:iCs/>
        </w:rPr>
        <w:t>размещения Биржевых облигаций будет приниматься Эмитентом до утверждения Условий выпуска, сообщение о выбранной форме размещения ценных бумаг должно быть опубликовано Эмитентом</w:t>
      </w:r>
      <w:r w:rsidR="002C45BD" w:rsidRPr="00053AF3">
        <w:rPr>
          <w:rFonts w:eastAsia="Times New Roman"/>
          <w:b/>
          <w:bCs/>
          <w:i/>
          <w:iCs/>
        </w:rPr>
        <w:t xml:space="preserve"> </w:t>
      </w:r>
      <w:r w:rsidRPr="00053AF3">
        <w:rPr>
          <w:rFonts w:eastAsia="Times New Roman"/>
          <w:b/>
          <w:bCs/>
          <w:i/>
          <w:iCs/>
        </w:rPr>
        <w:t xml:space="preserve">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10) В случае, если решение о назначении Андеррайтера принимается до утверждения Условий выпуска, информацию о назначении Андеррайтера Эмитент раскрывает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11) Порядок раскрытия информации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намеревается заключать такие предварительные договоры):</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11.1) о сроке для направления оферт от потенциальных приобретателей Биржевых облигаций с предложением заключить Предварительные договоры</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до даты начала размещения Биржевых облигаций и в следующие сроки с даты принятия уполномоченным органом управления</w:t>
      </w:r>
      <w:r w:rsidR="002C45BD" w:rsidRPr="00053AF3">
        <w:rPr>
          <w:rFonts w:eastAsia="Times New Roman"/>
          <w:b/>
          <w:bCs/>
          <w:i/>
          <w:iCs/>
        </w:rPr>
        <w:t xml:space="preserve"> </w:t>
      </w:r>
      <w:r w:rsidRPr="00053AF3">
        <w:rPr>
          <w:rFonts w:eastAsia="Times New Roman"/>
          <w:b/>
          <w:bCs/>
          <w:i/>
          <w:iCs/>
        </w:rPr>
        <w:t xml:space="preserve">Эмитента такого решения: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При этом публикация на странице в Сети Интернет осуществляется после публикации в Ленте новостей.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Информация об этом раскрывается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11.2) об истечении срока для направления оферт потенциальных приобретателей облигаций с предложением заключить Предварительный договор</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C ети Интернет - не позднее 1 (Одного) календарного дня.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12) Порядок раскрытия информации о величине процентной ставки купона на первый купонный период по Биржевым облигациям:</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12.1 В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о величине процентной ставки купона на первый купонный период.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При этом публикация на странице в Сети Интернет осуществляется после публикации в Ленте новостей.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12.2 В случае если Эмитент принимает решение о размещении Биржевых облигаций путем проведения Конкурса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на странице в C ети Интернет - не позднее 2 (Двух) календарных дней</w:t>
      </w:r>
      <w:r w:rsidR="00F01452">
        <w:rPr>
          <w:rFonts w:eastAsia="Times New Roman"/>
          <w:b/>
          <w:bCs/>
          <w:i/>
          <w:iCs/>
        </w:rPr>
        <w:t>.</w:t>
      </w:r>
      <w:r w:rsidRPr="00053AF3">
        <w:rPr>
          <w:rFonts w:eastAsia="Times New Roman"/>
          <w:b/>
          <w:bCs/>
          <w:i/>
          <w:iCs/>
        </w:rPr>
        <w:t xml:space="preserve">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13) Порядок раскрытия информации об исполнении обязательств по Биржевым облигациям:</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13.1. Информация об исполнении обязательств Эмитента по выплате дохода (купонного дохода, части номинальной стоимости) по Биржевым облигациям</w:t>
      </w:r>
      <w:r w:rsidR="002C45BD" w:rsidRPr="00053AF3">
        <w:rPr>
          <w:rFonts w:eastAsia="Times New Roman"/>
          <w:b/>
          <w:bCs/>
          <w:i/>
          <w:iCs/>
        </w:rPr>
        <w:t xml:space="preserve"> </w:t>
      </w:r>
      <w:r w:rsidRPr="00053AF3">
        <w:rPr>
          <w:rFonts w:eastAsia="Times New Roman"/>
          <w:b/>
          <w:bCs/>
          <w:i/>
          <w:iCs/>
        </w:rPr>
        <w:t>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w:t>
      </w:r>
      <w:r w:rsidR="002C45BD" w:rsidRPr="00053AF3">
        <w:rPr>
          <w:rFonts w:eastAsia="Times New Roman"/>
          <w:b/>
          <w:bCs/>
          <w:i/>
          <w:iCs/>
        </w:rPr>
        <w:t xml:space="preserve"> </w:t>
      </w:r>
      <w:r w:rsidRPr="00053AF3">
        <w:rPr>
          <w:rFonts w:eastAsia="Times New Roman"/>
          <w:b/>
          <w:bCs/>
          <w:i/>
          <w:iCs/>
        </w:rPr>
        <w:t>Биржевым облигациям</w:t>
      </w:r>
      <w:r w:rsidR="002C45BD" w:rsidRPr="00053AF3">
        <w:rPr>
          <w:rFonts w:eastAsia="Times New Roman"/>
          <w:b/>
          <w:bCs/>
          <w:i/>
          <w:iCs/>
        </w:rPr>
        <w:t xml:space="preserve"> </w:t>
      </w:r>
      <w:r w:rsidRPr="00053AF3">
        <w:rPr>
          <w:rFonts w:eastAsia="Times New Roman"/>
          <w:b/>
          <w:bCs/>
          <w:i/>
          <w:iCs/>
        </w:rPr>
        <w:t xml:space="preserve">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13.2. Информация о погашении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Раскрываемая информация об итогах досрочного погашения должна содержать, в том числе сведения о количестве досрочно погашенных Биржевых облигаций.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13.3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14) Порядок раскрытия информации о неисполнении или ненадлежащем исполнении Эмитентом обязательств по Биржевым облигациям.</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Указанная информация в том числе должна включать в себя следующие сведения: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объем неисполненных обязательств;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причину неисполнения обязательств;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перечисление возможных действий владельцев Биржевых облигаций по удовлетворению своих требований.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15) Порядок раскрытия информации о посредниках, привлекаемых Эмитентом при исполнении обязательств по Биржевым облигациям:</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16) Порядок раскрытия информации о величине процентной ставки или порядке определения размера ставок по купонам, начиная со второго.</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16.1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16.2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уполномоченным органом управления Эмитента решения об установлении процентной(ых) ставки(ок) либо порядке определения процентной(ых) ставки(ок) по купону(ам):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на странице в Сети Интернет - не позднее 2 (Двух) календарных дней. </w:t>
      </w:r>
    </w:p>
    <w:p w:rsidR="00617D43" w:rsidRPr="00053AF3" w:rsidRDefault="002C45BD" w:rsidP="00053AF3">
      <w:pPr>
        <w:ind w:firstLine="540"/>
        <w:jc w:val="both"/>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rPr>
          <w:rFonts w:eastAsia="Times New Roman"/>
          <w:b/>
          <w:bCs/>
          <w:i/>
          <w:iCs/>
        </w:rPr>
      </w:pPr>
      <w:r w:rsidRPr="00053AF3">
        <w:rPr>
          <w:rFonts w:eastAsia="Times New Roman"/>
          <w:b/>
          <w:bCs/>
          <w:i/>
          <w:iCs/>
        </w:rPr>
        <w:t>17 ) Порядок раскрытия информации о приобретении Биржевых облигаций.</w:t>
      </w:r>
    </w:p>
    <w:p w:rsidR="00617D43" w:rsidRPr="00053AF3" w:rsidRDefault="002C45BD" w:rsidP="00053AF3">
      <w:pPr>
        <w:ind w:firstLine="540"/>
        <w:jc w:val="both"/>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rPr>
          <w:rFonts w:eastAsia="Times New Roman"/>
          <w:b/>
          <w:bCs/>
          <w:i/>
          <w:iCs/>
        </w:rPr>
      </w:pPr>
      <w:r w:rsidRPr="00053AF3">
        <w:rPr>
          <w:rFonts w:eastAsia="Times New Roman"/>
          <w:b/>
          <w:bCs/>
          <w:i/>
          <w:iCs/>
        </w:rPr>
        <w:t xml:space="preserve">17.1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 Биржевых облигаций. </w:t>
      </w:r>
    </w:p>
    <w:p w:rsidR="00617D43" w:rsidRPr="00053AF3" w:rsidRDefault="002C45BD" w:rsidP="00053AF3">
      <w:pPr>
        <w:ind w:firstLine="540"/>
        <w:jc w:val="both"/>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rPr>
          <w:rFonts w:eastAsia="Times New Roman"/>
          <w:b/>
          <w:bCs/>
          <w:i/>
          <w:iCs/>
        </w:rPr>
      </w:pPr>
      <w:r w:rsidRPr="00053AF3">
        <w:rPr>
          <w:rFonts w:eastAsia="Times New Roman"/>
          <w:b/>
          <w:bCs/>
          <w:i/>
          <w:iCs/>
        </w:rPr>
        <w:t xml:space="preserve">17.2 Информация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одновременно с раскрытием информации об определенном размере (порядке определения размера) процента (купона) по Биржевым облигациям.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17.3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существенного факта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Данное сообщение включает в себя следующую информацию: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дату принятия решения о приобретении (выкупе)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серию и форму Биржевых облигаций, идентификационный номер выпуска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количество приобретаемых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дату начала приобретения Эмитентом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дату окончания приобретения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цену приобретения Биржевых облигаций или порядок ее определения;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порядок приобретения Биржевых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форму и срок оплаты;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w:t>
      </w:r>
      <w:r w:rsidR="002C45BD" w:rsidRPr="00053AF3">
        <w:rPr>
          <w:rFonts w:eastAsia="Times New Roman"/>
          <w:b/>
          <w:bCs/>
          <w:i/>
          <w:iCs/>
        </w:rPr>
        <w:t xml:space="preserve"> </w:t>
      </w:r>
      <w:r w:rsidRPr="00053AF3">
        <w:rPr>
          <w:rFonts w:eastAsia="Times New Roman"/>
          <w:b/>
          <w:bCs/>
          <w:i/>
          <w:iCs/>
        </w:rPr>
        <w:t xml:space="preserve">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18) Порядок раскрытия информации о досрочном погашении Биржевых облигаций по требованию владельцев Биржевых облигаций:</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18.1)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18.2)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18.3)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19) Порядок раскрытия информации о внесении изменений в эмиссионные документы по Биржевым облигациям:</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19.1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rsidR="00617D43" w:rsidRPr="00441F5E" w:rsidRDefault="00617D43" w:rsidP="00441F5E">
      <w:pPr>
        <w:ind w:firstLine="540"/>
        <w:jc w:val="both"/>
        <w:divId w:val="1977225192"/>
        <w:rPr>
          <w:b/>
          <w:bCs/>
          <w:i/>
          <w:iCs/>
        </w:rPr>
      </w:pPr>
      <w:r w:rsidRPr="00441F5E">
        <w:rPr>
          <w:b/>
          <w:bCs/>
          <w:i/>
          <w:iCs/>
        </w:rPr>
        <w:t xml:space="preserve">- в Ленте новостей - не позднее 1 (Одного) календарного дня; </w:t>
      </w:r>
    </w:p>
    <w:p w:rsidR="00617D43" w:rsidRPr="00441F5E" w:rsidRDefault="00617D43" w:rsidP="00441F5E">
      <w:pPr>
        <w:ind w:firstLine="540"/>
        <w:jc w:val="both"/>
        <w:divId w:val="1977225192"/>
        <w:rPr>
          <w:b/>
          <w:bCs/>
          <w:i/>
          <w:iCs/>
        </w:rPr>
      </w:pPr>
      <w:r w:rsidRPr="00441F5E">
        <w:rPr>
          <w:b/>
          <w:bCs/>
          <w:i/>
          <w:iCs/>
        </w:rPr>
        <w:t xml:space="preserve">- на странице в Сети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19.2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w:t>
      </w:r>
      <w:r w:rsidR="002C45BD" w:rsidRPr="00053AF3">
        <w:rPr>
          <w:rFonts w:eastAsia="Times New Roman"/>
          <w:b/>
          <w:bCs/>
          <w:i/>
          <w:iCs/>
        </w:rPr>
        <w:t xml:space="preserve"> </w:t>
      </w:r>
      <w:r w:rsidRPr="00053AF3">
        <w:rPr>
          <w:rFonts w:eastAsia="Times New Roman"/>
          <w:b/>
          <w:bCs/>
          <w:i/>
          <w:iCs/>
        </w:rPr>
        <w:t xml:space="preserve">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 </w:t>
      </w:r>
    </w:p>
    <w:p w:rsidR="00617D43" w:rsidRPr="00441F5E" w:rsidRDefault="00617D43" w:rsidP="00441F5E">
      <w:pPr>
        <w:ind w:firstLine="540"/>
        <w:jc w:val="both"/>
        <w:divId w:val="1977225192"/>
        <w:rPr>
          <w:b/>
          <w:bCs/>
          <w:i/>
          <w:iCs/>
        </w:rPr>
      </w:pPr>
      <w:r w:rsidRPr="00441F5E">
        <w:rPr>
          <w:b/>
          <w:bCs/>
          <w:i/>
          <w:iCs/>
        </w:rPr>
        <w:t xml:space="preserve">- в Ленте новостей - не позднее 1 (Одного) календарного дня; </w:t>
      </w:r>
    </w:p>
    <w:p w:rsidR="00617D43" w:rsidRPr="00441F5E" w:rsidRDefault="00617D43" w:rsidP="00441F5E">
      <w:pPr>
        <w:ind w:firstLine="540"/>
        <w:jc w:val="both"/>
        <w:divId w:val="1977225192"/>
        <w:rPr>
          <w:b/>
          <w:bCs/>
          <w:i/>
          <w:iCs/>
        </w:rPr>
      </w:pPr>
      <w:r w:rsidRPr="00441F5E">
        <w:rPr>
          <w:b/>
          <w:bCs/>
          <w:i/>
          <w:iCs/>
        </w:rPr>
        <w:t xml:space="preserve">- на странице в Сети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19.3 Информация об утверждении Биржей изменений в Программу и/или в Проспект и/или в Условия выпуска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После утверждения биржей изменений в Программу, в Условия выпуска</w:t>
      </w:r>
      <w:r w:rsidR="002C45BD" w:rsidRPr="00053AF3">
        <w:rPr>
          <w:rFonts w:eastAsia="Times New Roman"/>
          <w:b/>
          <w:bCs/>
          <w:i/>
          <w:iCs/>
        </w:rPr>
        <w:t xml:space="preserve"> </w:t>
      </w:r>
      <w:r w:rsidRPr="00053AF3">
        <w:rPr>
          <w:rFonts w:eastAsia="Times New Roman"/>
          <w:b/>
          <w:bCs/>
          <w:i/>
          <w:iCs/>
        </w:rPr>
        <w:t xml:space="preserve">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rsidR="00617D43" w:rsidRPr="00053AF3" w:rsidRDefault="002C45BD" w:rsidP="00053AF3">
      <w:pPr>
        <w:ind w:firstLine="540"/>
        <w:jc w:val="both"/>
        <w:divId w:val="1977225192"/>
        <w:rPr>
          <w:rFonts w:eastAsia="Times New Roman"/>
          <w:b/>
          <w:bCs/>
          <w:i/>
          <w:iCs/>
        </w:rPr>
      </w:pPr>
      <w:r w:rsidRPr="00053AF3">
        <w:rPr>
          <w:rFonts w:eastAsia="Times New Roman"/>
          <w:b/>
          <w:bCs/>
          <w:i/>
          <w:iCs/>
        </w:rPr>
        <w:t xml:space="preserve">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20) Если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 </w:t>
      </w:r>
    </w:p>
    <w:p w:rsidR="00617D43" w:rsidRDefault="00617D43">
      <w:pPr>
        <w:ind w:firstLine="540"/>
        <w:jc w:val="both"/>
        <w:divId w:val="1977225192"/>
        <w:rPr>
          <w:rFonts w:eastAsia="Times New Roman"/>
        </w:rPr>
      </w:pPr>
    </w:p>
    <w:p w:rsidR="00617D43" w:rsidRDefault="00617D43" w:rsidP="00053AF3">
      <w:pPr>
        <w:pStyle w:val="StyleBoldJustifiedFirstline095cm"/>
        <w:divId w:val="1977225192"/>
      </w:pPr>
      <w:r>
        <w:t xml:space="preserve">12. Сведения об обеспечении исполнения обязательств по облигациям, которые могут быть размещены в рамках программы облигаций: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Предоставление обеспечения не предусмотрено. </w:t>
      </w:r>
    </w:p>
    <w:p w:rsidR="00617D43" w:rsidRDefault="00617D43" w:rsidP="00053AF3">
      <w:pPr>
        <w:pStyle w:val="StyleBoldJustifiedFirstline095cm"/>
        <w:divId w:val="1977225192"/>
      </w:pPr>
      <w:r>
        <w:t xml:space="preserve">13. Сведения о представителе владельцев облигаций, которые могут быть размещены в рамках программы облигаций: </w:t>
      </w:r>
    </w:p>
    <w:p w:rsidR="00617D43" w:rsidRDefault="00617D43" w:rsidP="003C7F17">
      <w:pPr>
        <w:ind w:firstLine="540"/>
        <w:jc w:val="both"/>
        <w:divId w:val="1977225192"/>
        <w:rPr>
          <w:rFonts w:eastAsia="Times New Roman"/>
        </w:rPr>
      </w:pPr>
      <w:r w:rsidRPr="00053AF3">
        <w:rPr>
          <w:rFonts w:eastAsia="Times New Roman"/>
          <w:b/>
          <w:bCs/>
          <w:i/>
          <w:iCs/>
        </w:rPr>
        <w:t>Сведения о представителе владельцев Биржевых облигаций (в случае его назначения) будут указаны в соответствующих</w:t>
      </w:r>
      <w:r>
        <w:rPr>
          <w:rFonts w:eastAsia="Times New Roman"/>
          <w:b/>
          <w:bCs/>
          <w:i/>
          <w:iCs/>
        </w:rPr>
        <w:t xml:space="preserve"> </w:t>
      </w:r>
      <w:r w:rsidRPr="003C7F17">
        <w:rPr>
          <w:rFonts w:eastAsia="Times New Roman"/>
          <w:b/>
          <w:bCs/>
          <w:i/>
          <w:iCs/>
          <w:u w:val="single"/>
        </w:rPr>
        <w:t>Условиях выпуска</w:t>
      </w:r>
      <w:r w:rsidR="00F01452">
        <w:rPr>
          <w:rFonts w:eastAsia="Times New Roman"/>
          <w:b/>
          <w:bCs/>
          <w:i/>
          <w:iCs/>
        </w:rPr>
        <w:t>.</w:t>
      </w:r>
      <w:r>
        <w:rPr>
          <w:rFonts w:eastAsia="Times New Roman"/>
          <w:b/>
          <w:bCs/>
          <w:i/>
          <w:iCs/>
        </w:rPr>
        <w:t xml:space="preserve"> </w:t>
      </w:r>
    </w:p>
    <w:p w:rsidR="00617D43" w:rsidRDefault="00617D43">
      <w:pPr>
        <w:ind w:firstLine="540"/>
        <w:jc w:val="both"/>
        <w:divId w:val="1977225192"/>
        <w:rPr>
          <w:rFonts w:eastAsia="Times New Roman"/>
        </w:rPr>
      </w:pPr>
    </w:p>
    <w:p w:rsidR="00617D43" w:rsidRDefault="00617D43" w:rsidP="00053AF3">
      <w:pPr>
        <w:pStyle w:val="StyleBoldJustifiedFirstline095cm"/>
        <w:divId w:val="1977225192"/>
      </w:pPr>
      <w:r>
        <w:t xml:space="preserve">14. 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Эмитент обязуется предоставить по требованию заинтересованного лица копию Программы за плату, не превышающую затраты на ее изготовление. </w:t>
      </w:r>
    </w:p>
    <w:p w:rsidR="00617D43" w:rsidRDefault="00617D43" w:rsidP="00053AF3">
      <w:pPr>
        <w:pStyle w:val="StyleBoldJustifiedFirstline095cm"/>
        <w:divId w:val="1977225192"/>
      </w:pPr>
      <w:r>
        <w:t xml:space="preserve">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 </w:t>
      </w:r>
    </w:p>
    <w:p w:rsidR="00617D43" w:rsidRDefault="00617D43" w:rsidP="00053AF3">
      <w:pPr>
        <w:pStyle w:val="StyleBoldJustifiedFirstline095cm"/>
        <w:divId w:val="1977225192"/>
      </w:pPr>
      <w:r>
        <w:t xml:space="preserve">16. 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rsidR="00617D43" w:rsidRPr="00053AF3" w:rsidRDefault="00617D43" w:rsidP="00053AF3">
      <w:pPr>
        <w:ind w:firstLine="540"/>
        <w:jc w:val="both"/>
        <w:divId w:val="1977225192"/>
        <w:rPr>
          <w:rFonts w:eastAsia="Times New Roman"/>
          <w:b/>
          <w:bCs/>
          <w:i/>
          <w:iCs/>
        </w:rPr>
      </w:pPr>
      <w:r w:rsidRPr="00053AF3">
        <w:rPr>
          <w:rFonts w:eastAsia="Times New Roman"/>
          <w:b/>
          <w:bCs/>
          <w:i/>
          <w:iCs/>
        </w:rPr>
        <w:t xml:space="preserve">Предоставление обеспечения не предусмотрено. </w:t>
      </w:r>
    </w:p>
    <w:p w:rsidR="00617D43" w:rsidRDefault="00617D43" w:rsidP="00053AF3">
      <w:pPr>
        <w:pStyle w:val="StyleBoldJustifiedFirstline095cm"/>
        <w:divId w:val="1977225192"/>
      </w:pPr>
      <w:r>
        <w:t xml:space="preserve">17. Срок действия программы облигаций: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10 лет</w:t>
      </w:r>
      <w:r w:rsidR="002C45BD" w:rsidRPr="003C7F17">
        <w:rPr>
          <w:rFonts w:eastAsia="Times New Roman"/>
          <w:b/>
          <w:bCs/>
          <w:i/>
          <w:iCs/>
        </w:rPr>
        <w:t xml:space="preserve"> </w:t>
      </w:r>
      <w:r w:rsidRPr="003C7F17">
        <w:rPr>
          <w:rFonts w:eastAsia="Times New Roman"/>
          <w:b/>
          <w:bCs/>
          <w:i/>
          <w:iCs/>
        </w:rPr>
        <w:t xml:space="preserve">с даты присвоения идентификационного номера Программе. </w:t>
      </w:r>
    </w:p>
    <w:p w:rsidR="00617D43" w:rsidRDefault="00617D43" w:rsidP="003C7F17">
      <w:pPr>
        <w:pStyle w:val="StyleBoldJustifiedFirstline095cm"/>
        <w:divId w:val="1977225192"/>
      </w:pPr>
      <w:r>
        <w:t xml:space="preserve">18. Иные сведения, которые в соответствии с федеральными законами и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могут указываться в решении о выпуске облигаций: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Биржевые облигации допускаются к свободному обращению как на биржевом, так и на внебиржевом рынке.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На биржевом рынке Биржевые облигации обращаются с изъятиями, установленными организаторами торговли на рынке ценных бумаг.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На внебиржевом рынке Биржевые облигации обращаются с учетом ограничений, установленных действующим законодательством Российской Федерации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617D43" w:rsidRPr="003C7F17" w:rsidRDefault="00617D43" w:rsidP="003C7F17">
      <w:pPr>
        <w:ind w:firstLine="540"/>
        <w:jc w:val="both"/>
        <w:divId w:val="1977225192"/>
        <w:rPr>
          <w:rFonts w:eastAsia="Times New Roman"/>
          <w:b/>
          <w:bCs/>
          <w:i/>
          <w:iCs/>
          <w:lang w:val="en-US"/>
        </w:rPr>
      </w:pPr>
      <w:r w:rsidRPr="003C7F17">
        <w:rPr>
          <w:rFonts w:eastAsia="Times New Roman"/>
          <w:b/>
          <w:bCs/>
          <w:i/>
          <w:iCs/>
        </w:rPr>
        <w:t>НКД</w:t>
      </w:r>
      <w:r w:rsidRPr="003C7F17">
        <w:rPr>
          <w:rFonts w:eastAsia="Times New Roman"/>
          <w:b/>
          <w:bCs/>
          <w:i/>
          <w:iCs/>
          <w:lang w:val="en-US"/>
        </w:rPr>
        <w:t xml:space="preserve"> = Ci * Nom * (T - T(i -1))/ 365/ 100%,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где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i - порядковый номер купонного периода, i=1, 2, 3...N, где N - количество купонных периодов, установленных Условиями выпуска;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НКД - накопленный купонный доход в валюте, в которой выражена номинальная стоимость Биржевой облигации;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Nom - непогашенная часть номинальной стоимости одной Биржевой облигации в валюте, в которой выражена номинальная стоимость Биржевой облигации ;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Ci - размер процентной ставки i-того купона, в процентах годовых;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T(i -1) - дата начала i-того купонного периода (для случая первого купонного периода Т (i-1) - это дата начала размещения Биржевых облигаций);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T - дата расчета накопленного купонного дохода внутри i -купонного периода.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4. Сведения в отношении наименований, местонахождений</w:t>
      </w:r>
      <w:r w:rsidR="00F01452">
        <w:rPr>
          <w:rFonts w:eastAsia="Times New Roman"/>
          <w:b/>
          <w:bCs/>
          <w:i/>
          <w:iCs/>
        </w:rPr>
        <w:t>,</w:t>
      </w:r>
      <w:r w:rsidRPr="003C7F17">
        <w:rPr>
          <w:rFonts w:eastAsia="Times New Roman"/>
          <w:b/>
          <w:bCs/>
          <w:i/>
          <w:iCs/>
        </w:rPr>
        <w:t xml:space="preserve">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В случае изменения наименования, местонахождения</w:t>
      </w:r>
      <w:r w:rsidR="00F01452">
        <w:rPr>
          <w:rFonts w:eastAsia="Times New Roman"/>
          <w:b/>
          <w:bCs/>
          <w:i/>
          <w:iCs/>
        </w:rPr>
        <w:t>,</w:t>
      </w:r>
      <w:r w:rsidRPr="003C7F17">
        <w:rPr>
          <w:rFonts w:eastAsia="Times New Roman"/>
          <w:b/>
          <w:bCs/>
          <w:i/>
          <w:iCs/>
        </w:rPr>
        <w:t xml:space="preserve"> лицензий и других реквизитов обществ (организаций), указанных</w:t>
      </w:r>
      <w:r w:rsidR="002C45BD" w:rsidRPr="003C7F17">
        <w:rPr>
          <w:rFonts w:eastAsia="Times New Roman"/>
          <w:b/>
          <w:bCs/>
          <w:i/>
          <w:iCs/>
        </w:rPr>
        <w:t xml:space="preserve"> </w:t>
      </w:r>
      <w:r w:rsidRPr="003C7F17">
        <w:rPr>
          <w:rFonts w:eastAsia="Times New Roman"/>
          <w:b/>
          <w:bCs/>
          <w:i/>
          <w:iCs/>
        </w:rPr>
        <w:t>в Программе, Условиях выпуска и Проспекте, данную информацию следует читать с учетом соответствующих изменений.</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6. Если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3C7F17">
        <w:rPr>
          <w:b/>
          <w:bCs/>
          <w:i/>
          <w:iCs/>
          <w:u w:val="single"/>
        </w:rPr>
        <w:t xml:space="preserve">в российских рублях по курсу, который будет установлен в соответствии с Условиями выпуска.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617D43" w:rsidRPr="003C7F17" w:rsidRDefault="002C45BD" w:rsidP="003C7F17">
      <w:pPr>
        <w:ind w:firstLine="540"/>
        <w:jc w:val="both"/>
        <w:divId w:val="1977225192"/>
        <w:rPr>
          <w:rFonts w:eastAsia="Times New Roman"/>
          <w:b/>
          <w:bCs/>
          <w:i/>
          <w:iCs/>
        </w:rPr>
      </w:pPr>
      <w:r w:rsidRPr="003C7F17">
        <w:rPr>
          <w:rFonts w:eastAsia="Times New Roman"/>
          <w:b/>
          <w:bCs/>
          <w:i/>
          <w:iCs/>
        </w:rPr>
        <w:t xml:space="preserve"> </w:t>
      </w:r>
    </w:p>
    <w:p w:rsidR="00617D43" w:rsidRPr="003C7F17" w:rsidRDefault="00617D43" w:rsidP="003C7F17">
      <w:pPr>
        <w:ind w:firstLine="540"/>
        <w:jc w:val="both"/>
        <w:divId w:val="1977225192"/>
        <w:rPr>
          <w:rFonts w:eastAsia="Times New Roman"/>
          <w:b/>
          <w:bCs/>
          <w:i/>
          <w:iCs/>
        </w:rPr>
      </w:pPr>
      <w:r w:rsidRPr="003C7F17">
        <w:rPr>
          <w:rFonts w:eastAsia="Times New Roman"/>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 </w:t>
      </w:r>
    </w:p>
    <w:p w:rsidR="00617D43" w:rsidRPr="003C7F17" w:rsidRDefault="002C45BD" w:rsidP="003C7F17">
      <w:pPr>
        <w:ind w:firstLine="540"/>
        <w:jc w:val="both"/>
        <w:divId w:val="1977225192"/>
        <w:rPr>
          <w:b/>
          <w:bCs/>
          <w:i/>
          <w:iCs/>
        </w:rPr>
      </w:pPr>
      <w:r w:rsidRPr="003C7F17">
        <w:rPr>
          <w:b/>
          <w:bCs/>
          <w:i/>
          <w:iCs/>
        </w:rPr>
        <w:t xml:space="preserve"> </w:t>
      </w:r>
    </w:p>
    <w:sectPr w:rsidR="00617D43" w:rsidRPr="003C7F17" w:rsidSect="00F01452">
      <w:footerReference w:type="default" r:id="rId6"/>
      <w:pgSz w:w="11906" w:h="16838"/>
      <w:pgMar w:top="567" w:right="567" w:bottom="567" w:left="1134" w:header="709"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344" w:rsidRDefault="00713344" w:rsidP="00F01452">
      <w:r>
        <w:separator/>
      </w:r>
    </w:p>
  </w:endnote>
  <w:endnote w:type="continuationSeparator" w:id="0">
    <w:p w:rsidR="00713344" w:rsidRDefault="00713344" w:rsidP="00F0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lyphicons Halflings">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775904"/>
      <w:docPartObj>
        <w:docPartGallery w:val="Page Numbers (Bottom of Page)"/>
        <w:docPartUnique/>
      </w:docPartObj>
    </w:sdtPr>
    <w:sdtEndPr>
      <w:rPr>
        <w:noProof/>
      </w:rPr>
    </w:sdtEndPr>
    <w:sdtContent>
      <w:p w:rsidR="00E76D83" w:rsidRDefault="00E76D83" w:rsidP="00F01452">
        <w:pPr>
          <w:pStyle w:val="ab"/>
          <w:jc w:val="right"/>
        </w:pPr>
        <w:r w:rsidRPr="00F01452">
          <w:rPr>
            <w:sz w:val="18"/>
            <w:szCs w:val="18"/>
          </w:rPr>
          <w:fldChar w:fldCharType="begin"/>
        </w:r>
        <w:r w:rsidRPr="00F01452">
          <w:rPr>
            <w:sz w:val="18"/>
            <w:szCs w:val="18"/>
          </w:rPr>
          <w:instrText xml:space="preserve"> PAGE   \* MERGEFORMAT </w:instrText>
        </w:r>
        <w:r w:rsidRPr="00F01452">
          <w:rPr>
            <w:sz w:val="18"/>
            <w:szCs w:val="18"/>
          </w:rPr>
          <w:fldChar w:fldCharType="separate"/>
        </w:r>
        <w:r w:rsidR="00785D2C">
          <w:rPr>
            <w:noProof/>
            <w:sz w:val="18"/>
            <w:szCs w:val="18"/>
          </w:rPr>
          <w:t>1</w:t>
        </w:r>
        <w:r w:rsidRPr="00F01452">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344" w:rsidRDefault="00713344" w:rsidP="00F01452">
      <w:r>
        <w:separator/>
      </w:r>
    </w:p>
  </w:footnote>
  <w:footnote w:type="continuationSeparator" w:id="0">
    <w:p w:rsidR="00713344" w:rsidRDefault="00713344" w:rsidP="00F01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AA5BC9"/>
    <w:rsid w:val="00053AF3"/>
    <w:rsid w:val="002C45BD"/>
    <w:rsid w:val="00343BD4"/>
    <w:rsid w:val="003911E9"/>
    <w:rsid w:val="003C7F17"/>
    <w:rsid w:val="00441F5E"/>
    <w:rsid w:val="005165EF"/>
    <w:rsid w:val="00554456"/>
    <w:rsid w:val="00604692"/>
    <w:rsid w:val="00617D43"/>
    <w:rsid w:val="00713344"/>
    <w:rsid w:val="00744134"/>
    <w:rsid w:val="00785D2C"/>
    <w:rsid w:val="00907940"/>
    <w:rsid w:val="00AA5BC9"/>
    <w:rsid w:val="00AD62D1"/>
    <w:rsid w:val="00E76D83"/>
    <w:rsid w:val="00F01452"/>
    <w:rsid w:val="00F0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2C85AA-9AD2-4E22-975C-5353DE6F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D43"/>
    <w:rPr>
      <w:rFonts w:eastAsiaTheme="minorEastAsia"/>
      <w:sz w:val="22"/>
      <w:szCs w:val="24"/>
    </w:rPr>
  </w:style>
  <w:style w:type="paragraph" w:styleId="1">
    <w:name w:val="heading 1"/>
    <w:basedOn w:val="a"/>
    <w:link w:val="10"/>
    <w:uiPriority w:val="9"/>
    <w:qFormat/>
    <w:pPr>
      <w:spacing w:before="300" w:after="150"/>
      <w:outlineLvl w:val="0"/>
    </w:pPr>
    <w:rPr>
      <w:rFonts w:ascii="inherit" w:hAnsi="inherit"/>
      <w:kern w:val="36"/>
      <w:sz w:val="54"/>
      <w:szCs w:val="54"/>
    </w:rPr>
  </w:style>
  <w:style w:type="paragraph" w:styleId="2">
    <w:name w:val="heading 2"/>
    <w:basedOn w:val="a"/>
    <w:link w:val="20"/>
    <w:uiPriority w:val="9"/>
    <w:qFormat/>
    <w:pPr>
      <w:spacing w:before="300" w:after="150"/>
      <w:outlineLvl w:val="1"/>
    </w:pPr>
    <w:rPr>
      <w:rFonts w:ascii="inherit" w:hAnsi="inherit"/>
      <w:sz w:val="45"/>
      <w:szCs w:val="45"/>
    </w:rPr>
  </w:style>
  <w:style w:type="paragraph" w:styleId="3">
    <w:name w:val="heading 3"/>
    <w:basedOn w:val="a"/>
    <w:link w:val="30"/>
    <w:uiPriority w:val="9"/>
    <w:qFormat/>
    <w:pPr>
      <w:spacing w:before="300" w:after="150"/>
      <w:outlineLvl w:val="2"/>
    </w:pPr>
    <w:rPr>
      <w:rFonts w:ascii="inherit" w:hAnsi="inherit"/>
      <w:sz w:val="36"/>
      <w:szCs w:val="36"/>
    </w:rPr>
  </w:style>
  <w:style w:type="paragraph" w:styleId="4">
    <w:name w:val="heading 4"/>
    <w:basedOn w:val="a"/>
    <w:link w:val="40"/>
    <w:uiPriority w:val="9"/>
    <w:qFormat/>
    <w:pPr>
      <w:spacing w:before="150" w:after="150"/>
      <w:outlineLvl w:val="3"/>
    </w:pPr>
    <w:rPr>
      <w:rFonts w:ascii="inherit" w:hAnsi="inherit"/>
      <w:sz w:val="27"/>
      <w:szCs w:val="27"/>
    </w:rPr>
  </w:style>
  <w:style w:type="paragraph" w:styleId="5">
    <w:name w:val="heading 5"/>
    <w:basedOn w:val="a"/>
    <w:link w:val="50"/>
    <w:uiPriority w:val="9"/>
    <w:qFormat/>
    <w:pPr>
      <w:spacing w:before="150" w:after="150"/>
      <w:outlineLvl w:val="4"/>
    </w:pPr>
    <w:rPr>
      <w:rFonts w:ascii="inherit" w:hAnsi="inherit"/>
      <w:sz w:val="21"/>
      <w:szCs w:val="21"/>
    </w:rPr>
  </w:style>
  <w:style w:type="paragraph" w:styleId="6">
    <w:name w:val="heading 6"/>
    <w:basedOn w:val="a"/>
    <w:link w:val="60"/>
    <w:uiPriority w:val="9"/>
    <w:qFormat/>
    <w:pPr>
      <w:spacing w:before="150" w:after="150"/>
      <w:outlineLvl w:val="5"/>
    </w:pPr>
    <w:rPr>
      <w:rFonts w:ascii="inherit" w:hAnsi="inherit"/>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337AB7"/>
      <w:u w:val="none"/>
      <w:effect w:val="none"/>
      <w:shd w:val="clear" w:color="auto" w:fill="auto"/>
    </w:rPr>
  </w:style>
  <w:style w:type="character" w:styleId="a4">
    <w:name w:val="FollowedHyperlink"/>
    <w:basedOn w:val="a0"/>
    <w:uiPriority w:val="99"/>
    <w:semiHidden/>
    <w:unhideWhenUsed/>
    <w:rPr>
      <w:strike w:val="0"/>
      <w:dstrike w:val="0"/>
      <w:color w:val="337AB7"/>
      <w:u w:val="none"/>
      <w:effect w:val="none"/>
      <w:shd w:val="clear" w:color="auto" w:fill="auto"/>
    </w:rPr>
  </w:style>
  <w:style w:type="paragraph" w:styleId="HTML">
    <w:name w:val="HTML Address"/>
    <w:basedOn w:val="a"/>
    <w:link w:val="HTML0"/>
    <w:uiPriority w:val="99"/>
    <w:semiHidden/>
    <w:unhideWhenUsed/>
    <w:pPr>
      <w:spacing w:after="300"/>
    </w:pPr>
  </w:style>
  <w:style w:type="character" w:customStyle="1" w:styleId="HTML0">
    <w:name w:val="Адрес HTML Знак"/>
    <w:basedOn w:val="a0"/>
    <w:link w:val="HTML"/>
    <w:uiPriority w:val="99"/>
    <w:semiHidden/>
    <w:rPr>
      <w:rFonts w:eastAsiaTheme="minorEastAsia"/>
      <w:i/>
      <w:iCs/>
      <w:sz w:val="24"/>
      <w:szCs w:val="24"/>
    </w:rPr>
  </w:style>
  <w:style w:type="character" w:styleId="HTML1">
    <w:name w:val="HTML Code"/>
    <w:basedOn w:val="a0"/>
    <w:uiPriority w:val="99"/>
    <w:semiHidden/>
    <w:unhideWhenUsed/>
    <w:rPr>
      <w:rFonts w:ascii="Consolas" w:eastAsiaTheme="minorEastAsia" w:hAnsi="Consolas" w:cs="Consolas" w:hint="default"/>
      <w:color w:val="C7254E"/>
      <w:sz w:val="22"/>
      <w:szCs w:val="22"/>
      <w:shd w:val="clear" w:color="auto" w:fill="F9F2F4"/>
    </w:rPr>
  </w:style>
  <w:style w:type="character" w:styleId="HTML2">
    <w:name w:val="HTML Definition"/>
    <w:basedOn w:val="a0"/>
    <w:uiPriority w:val="99"/>
    <w:semiHidden/>
    <w:unhideWhenUsed/>
    <w:rPr>
      <w:i/>
      <w:iC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character" w:styleId="HTML3">
    <w:name w:val="HTML Keyboard"/>
    <w:basedOn w:val="a0"/>
    <w:uiPriority w:val="99"/>
    <w:semiHidden/>
    <w:unhideWhenUsed/>
    <w:rPr>
      <w:rFonts w:ascii="Consolas" w:eastAsiaTheme="minorEastAsia" w:hAnsi="Consolas" w:cs="Consolas" w:hint="default"/>
      <w:color w:val="FFFFFF"/>
      <w:sz w:val="22"/>
      <w:szCs w:val="22"/>
      <w:shd w:val="clear" w:color="auto" w:fill="333333"/>
    </w:rPr>
  </w:style>
  <w:style w:type="paragraph" w:styleId="HTML4">
    <w:name w:val="HTML Preformatted"/>
    <w:basedOn w:val="a"/>
    <w:link w:val="HTML5"/>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HTML5">
    <w:name w:val="Стандартный HTML Знак"/>
    <w:basedOn w:val="a0"/>
    <w:link w:val="HTML4"/>
    <w:uiPriority w:val="99"/>
    <w:semiHidden/>
    <w:rPr>
      <w:rFonts w:ascii="Consolas" w:eastAsiaTheme="minorEastAsia" w:hAnsi="Consolas" w:cs="Consolas"/>
    </w:rPr>
  </w:style>
  <w:style w:type="character" w:styleId="HTML6">
    <w:name w:val="HTML Sample"/>
    <w:basedOn w:val="a0"/>
    <w:uiPriority w:val="99"/>
    <w:semiHidden/>
    <w:unhideWhenUsed/>
    <w:rPr>
      <w:rFonts w:ascii="Consolas" w:eastAsiaTheme="minorEastAsia" w:hAnsi="Consolas" w:cs="Consolas" w:hint="default"/>
      <w:sz w:val="24"/>
      <w:szCs w:val="24"/>
    </w:rPr>
  </w:style>
  <w:style w:type="character" w:styleId="a5">
    <w:name w:val="Strong"/>
    <w:basedOn w:val="a0"/>
    <w:uiPriority w:val="22"/>
    <w:qFormat/>
    <w:rPr>
      <w:b/>
      <w:bCs/>
    </w:rPr>
  </w:style>
  <w:style w:type="paragraph" w:styleId="a6">
    <w:name w:val="Normal (Web)"/>
    <w:basedOn w:val="a"/>
    <w:uiPriority w:val="99"/>
    <w:unhideWhenUsed/>
    <w:pPr>
      <w:spacing w:after="150"/>
    </w:pPr>
  </w:style>
  <w:style w:type="paragraph" w:customStyle="1" w:styleId="glyphicon">
    <w:name w:val="glyphicon"/>
    <w:basedOn w:val="a"/>
    <w:pPr>
      <w:spacing w:after="150"/>
    </w:pPr>
    <w:rPr>
      <w:rFonts w:ascii="Glyphicons Halflings" w:hAnsi="Glyphicons Halflings"/>
    </w:rPr>
  </w:style>
  <w:style w:type="paragraph" w:customStyle="1" w:styleId="img-thumbnail">
    <w:name w:val="img-thumbnail"/>
    <w:basedOn w:val="a"/>
    <w:pPr>
      <w:pBdr>
        <w:top w:val="single" w:sz="6" w:space="3" w:color="DDDDDD"/>
        <w:left w:val="single" w:sz="6" w:space="3" w:color="DDDDDD"/>
        <w:bottom w:val="single" w:sz="6" w:space="3" w:color="DDDDDD"/>
        <w:right w:val="single" w:sz="6" w:space="3" w:color="DDDDDD"/>
      </w:pBdr>
      <w:shd w:val="clear" w:color="auto" w:fill="FFFFFF"/>
      <w:spacing w:after="150"/>
    </w:pPr>
  </w:style>
  <w:style w:type="paragraph" w:customStyle="1" w:styleId="sr-only">
    <w:name w:val="sr-only"/>
    <w:basedOn w:val="a"/>
    <w:pPr>
      <w:ind w:left="-15" w:right="-15"/>
    </w:pPr>
  </w:style>
  <w:style w:type="paragraph" w:customStyle="1" w:styleId="h1">
    <w:name w:val="h1"/>
    <w:basedOn w:val="a"/>
    <w:pPr>
      <w:spacing w:before="300" w:after="150"/>
    </w:pPr>
    <w:rPr>
      <w:rFonts w:ascii="inherit" w:hAnsi="inherit"/>
      <w:sz w:val="54"/>
      <w:szCs w:val="54"/>
    </w:rPr>
  </w:style>
  <w:style w:type="paragraph" w:customStyle="1" w:styleId="h2">
    <w:name w:val="h2"/>
    <w:basedOn w:val="a"/>
    <w:pPr>
      <w:spacing w:before="300" w:after="150"/>
    </w:pPr>
    <w:rPr>
      <w:rFonts w:ascii="inherit" w:hAnsi="inherit"/>
      <w:sz w:val="45"/>
      <w:szCs w:val="45"/>
    </w:rPr>
  </w:style>
  <w:style w:type="paragraph" w:customStyle="1" w:styleId="h3">
    <w:name w:val="h3"/>
    <w:basedOn w:val="a"/>
    <w:pPr>
      <w:spacing w:before="300" w:after="150"/>
    </w:pPr>
    <w:rPr>
      <w:rFonts w:ascii="inherit" w:hAnsi="inherit"/>
      <w:sz w:val="36"/>
      <w:szCs w:val="36"/>
    </w:rPr>
  </w:style>
  <w:style w:type="paragraph" w:customStyle="1" w:styleId="h4">
    <w:name w:val="h4"/>
    <w:basedOn w:val="a"/>
    <w:pPr>
      <w:spacing w:before="150" w:after="150"/>
    </w:pPr>
    <w:rPr>
      <w:rFonts w:ascii="inherit" w:hAnsi="inherit"/>
      <w:sz w:val="27"/>
      <w:szCs w:val="27"/>
    </w:rPr>
  </w:style>
  <w:style w:type="paragraph" w:customStyle="1" w:styleId="h5">
    <w:name w:val="h5"/>
    <w:basedOn w:val="a"/>
    <w:pPr>
      <w:spacing w:before="150" w:after="150"/>
    </w:pPr>
    <w:rPr>
      <w:rFonts w:ascii="inherit" w:hAnsi="inherit"/>
      <w:sz w:val="21"/>
      <w:szCs w:val="21"/>
    </w:rPr>
  </w:style>
  <w:style w:type="paragraph" w:customStyle="1" w:styleId="h6">
    <w:name w:val="h6"/>
    <w:basedOn w:val="a"/>
    <w:pPr>
      <w:spacing w:before="150" w:after="150"/>
    </w:pPr>
    <w:rPr>
      <w:rFonts w:ascii="inherit" w:hAnsi="inherit"/>
      <w:sz w:val="18"/>
      <w:szCs w:val="18"/>
    </w:rPr>
  </w:style>
  <w:style w:type="paragraph" w:customStyle="1" w:styleId="lead">
    <w:name w:val="lead"/>
    <w:basedOn w:val="a"/>
    <w:pPr>
      <w:spacing w:after="300"/>
    </w:pPr>
  </w:style>
  <w:style w:type="paragraph" w:customStyle="1" w:styleId="small">
    <w:name w:val="small"/>
    <w:basedOn w:val="a"/>
    <w:pPr>
      <w:spacing w:after="150"/>
    </w:pPr>
    <w:rPr>
      <w:sz w:val="20"/>
      <w:szCs w:val="20"/>
    </w:rPr>
  </w:style>
  <w:style w:type="paragraph" w:customStyle="1" w:styleId="text-left">
    <w:name w:val="text-left"/>
    <w:basedOn w:val="a"/>
    <w:pPr>
      <w:spacing w:after="150"/>
    </w:pPr>
  </w:style>
  <w:style w:type="paragraph" w:customStyle="1" w:styleId="text-right">
    <w:name w:val="text-right"/>
    <w:basedOn w:val="a"/>
    <w:pPr>
      <w:spacing w:after="150"/>
      <w:jc w:val="right"/>
    </w:pPr>
  </w:style>
  <w:style w:type="paragraph" w:customStyle="1" w:styleId="text-center">
    <w:name w:val="text-center"/>
    <w:basedOn w:val="a"/>
    <w:pPr>
      <w:spacing w:after="150"/>
      <w:jc w:val="center"/>
    </w:pPr>
  </w:style>
  <w:style w:type="paragraph" w:customStyle="1" w:styleId="text-justify">
    <w:name w:val="text-justify"/>
    <w:basedOn w:val="a"/>
    <w:pPr>
      <w:spacing w:after="150"/>
      <w:jc w:val="both"/>
    </w:pPr>
  </w:style>
  <w:style w:type="paragraph" w:customStyle="1" w:styleId="text-nowrap">
    <w:name w:val="text-nowrap"/>
    <w:basedOn w:val="a"/>
    <w:pPr>
      <w:spacing w:after="150"/>
    </w:pPr>
  </w:style>
  <w:style w:type="paragraph" w:customStyle="1" w:styleId="text-uppercase">
    <w:name w:val="text-uppercase"/>
    <w:basedOn w:val="a"/>
    <w:pPr>
      <w:spacing w:after="150"/>
    </w:pPr>
    <w:rPr>
      <w:caps/>
    </w:rPr>
  </w:style>
  <w:style w:type="paragraph" w:customStyle="1" w:styleId="text-muted">
    <w:name w:val="text-muted"/>
    <w:basedOn w:val="a"/>
    <w:pPr>
      <w:spacing w:after="150"/>
    </w:pPr>
    <w:rPr>
      <w:color w:val="777777"/>
    </w:rPr>
  </w:style>
  <w:style w:type="paragraph" w:customStyle="1" w:styleId="text-primary">
    <w:name w:val="text-primary"/>
    <w:basedOn w:val="a"/>
    <w:pPr>
      <w:spacing w:after="150"/>
    </w:pPr>
    <w:rPr>
      <w:color w:val="337AB7"/>
    </w:rPr>
  </w:style>
  <w:style w:type="paragraph" w:customStyle="1" w:styleId="text-success">
    <w:name w:val="text-success"/>
    <w:basedOn w:val="a"/>
    <w:pPr>
      <w:spacing w:after="150"/>
    </w:pPr>
    <w:rPr>
      <w:color w:val="3C763D"/>
    </w:rPr>
  </w:style>
  <w:style w:type="paragraph" w:customStyle="1" w:styleId="text-info">
    <w:name w:val="text-info"/>
    <w:basedOn w:val="a"/>
    <w:pPr>
      <w:spacing w:after="150"/>
    </w:pPr>
    <w:rPr>
      <w:color w:val="31708F"/>
    </w:rPr>
  </w:style>
  <w:style w:type="paragraph" w:customStyle="1" w:styleId="text-warning">
    <w:name w:val="text-warning"/>
    <w:basedOn w:val="a"/>
    <w:pPr>
      <w:spacing w:after="150"/>
    </w:pPr>
    <w:rPr>
      <w:color w:val="8A6D3B"/>
    </w:rPr>
  </w:style>
  <w:style w:type="paragraph" w:customStyle="1" w:styleId="text-danger">
    <w:name w:val="text-danger"/>
    <w:basedOn w:val="a"/>
    <w:pPr>
      <w:spacing w:after="150"/>
    </w:pPr>
    <w:rPr>
      <w:color w:val="A94442"/>
    </w:rPr>
  </w:style>
  <w:style w:type="paragraph" w:customStyle="1" w:styleId="bg-primary">
    <w:name w:val="bg-primary"/>
    <w:basedOn w:val="a"/>
    <w:pPr>
      <w:shd w:val="clear" w:color="auto" w:fill="337AB7"/>
      <w:spacing w:after="150"/>
    </w:pPr>
    <w:rPr>
      <w:color w:val="FFFFFF"/>
    </w:rPr>
  </w:style>
  <w:style w:type="paragraph" w:customStyle="1" w:styleId="bg-success">
    <w:name w:val="bg-success"/>
    <w:basedOn w:val="a"/>
    <w:pPr>
      <w:shd w:val="clear" w:color="auto" w:fill="DFF0D8"/>
      <w:spacing w:after="150"/>
    </w:pPr>
  </w:style>
  <w:style w:type="paragraph" w:customStyle="1" w:styleId="bg-info">
    <w:name w:val="bg-info"/>
    <w:basedOn w:val="a"/>
    <w:pPr>
      <w:shd w:val="clear" w:color="auto" w:fill="D9EDF7"/>
      <w:spacing w:after="150"/>
    </w:pPr>
  </w:style>
  <w:style w:type="paragraph" w:customStyle="1" w:styleId="bg-warning">
    <w:name w:val="bg-warning"/>
    <w:basedOn w:val="a"/>
    <w:pPr>
      <w:shd w:val="clear" w:color="auto" w:fill="FCF8E3"/>
      <w:spacing w:after="150"/>
    </w:pPr>
  </w:style>
  <w:style w:type="paragraph" w:customStyle="1" w:styleId="bg-danger">
    <w:name w:val="bg-danger"/>
    <w:basedOn w:val="a"/>
    <w:pPr>
      <w:shd w:val="clear" w:color="auto" w:fill="F2DEDE"/>
      <w:spacing w:after="150"/>
    </w:pPr>
  </w:style>
  <w:style w:type="paragraph" w:customStyle="1" w:styleId="page-header">
    <w:name w:val="page-header"/>
    <w:basedOn w:val="a"/>
    <w:pPr>
      <w:pBdr>
        <w:bottom w:val="single" w:sz="6" w:space="7" w:color="EEEEEE"/>
      </w:pBdr>
      <w:spacing w:before="600" w:after="300"/>
    </w:pPr>
  </w:style>
  <w:style w:type="paragraph" w:customStyle="1" w:styleId="list-unstyled">
    <w:name w:val="list-unstyled"/>
    <w:basedOn w:val="a"/>
    <w:pPr>
      <w:spacing w:after="150"/>
    </w:pPr>
  </w:style>
  <w:style w:type="paragraph" w:customStyle="1" w:styleId="list-inline">
    <w:name w:val="list-inline"/>
    <w:basedOn w:val="a"/>
    <w:pPr>
      <w:spacing w:after="150"/>
      <w:ind w:left="-75"/>
    </w:pPr>
  </w:style>
  <w:style w:type="paragraph" w:customStyle="1" w:styleId="list-inlineli">
    <w:name w:val="list-inline&gt;li"/>
    <w:basedOn w:val="a"/>
    <w:pPr>
      <w:spacing w:after="150"/>
    </w:pPr>
  </w:style>
  <w:style w:type="paragraph" w:customStyle="1" w:styleId="initialism">
    <w:name w:val="initialism"/>
    <w:basedOn w:val="a"/>
    <w:pPr>
      <w:spacing w:after="150"/>
    </w:pPr>
    <w:rPr>
      <w:caps/>
      <w:szCs w:val="22"/>
    </w:rPr>
  </w:style>
  <w:style w:type="paragraph" w:customStyle="1" w:styleId="blockquote-reverse">
    <w:name w:val="blockquote-reverse"/>
    <w:basedOn w:val="a"/>
    <w:pPr>
      <w:pBdr>
        <w:right w:val="single" w:sz="36" w:space="11" w:color="EEEEEE"/>
      </w:pBdr>
      <w:spacing w:after="150"/>
      <w:jc w:val="right"/>
    </w:pPr>
  </w:style>
  <w:style w:type="paragraph" w:customStyle="1" w:styleId="container">
    <w:name w:val="container"/>
    <w:basedOn w:val="a"/>
    <w:pPr>
      <w:spacing w:after="150"/>
    </w:pPr>
  </w:style>
  <w:style w:type="paragraph" w:customStyle="1" w:styleId="container-fluid">
    <w:name w:val="container-fluid"/>
    <w:basedOn w:val="a"/>
    <w:pPr>
      <w:spacing w:after="150"/>
    </w:pPr>
  </w:style>
  <w:style w:type="paragraph" w:customStyle="1" w:styleId="row">
    <w:name w:val="row"/>
    <w:basedOn w:val="a"/>
    <w:pPr>
      <w:spacing w:after="150"/>
      <w:ind w:left="-225" w:right="-225"/>
    </w:pPr>
  </w:style>
  <w:style w:type="paragraph" w:customStyle="1" w:styleId="col-lg-1">
    <w:name w:val="col-lg-1"/>
    <w:basedOn w:val="a"/>
    <w:pPr>
      <w:spacing w:after="150"/>
    </w:pPr>
  </w:style>
  <w:style w:type="paragraph" w:customStyle="1" w:styleId="col-lg-10">
    <w:name w:val="col-lg-10"/>
    <w:basedOn w:val="a"/>
    <w:pPr>
      <w:spacing w:after="150"/>
    </w:pPr>
  </w:style>
  <w:style w:type="paragraph" w:customStyle="1" w:styleId="col-lg-11">
    <w:name w:val="col-lg-11"/>
    <w:basedOn w:val="a"/>
    <w:pPr>
      <w:spacing w:after="150"/>
    </w:pPr>
  </w:style>
  <w:style w:type="paragraph" w:customStyle="1" w:styleId="col-lg-12">
    <w:name w:val="col-lg-12"/>
    <w:basedOn w:val="a"/>
    <w:pPr>
      <w:spacing w:after="150"/>
    </w:pPr>
  </w:style>
  <w:style w:type="paragraph" w:customStyle="1" w:styleId="col-lg-2">
    <w:name w:val="col-lg-2"/>
    <w:basedOn w:val="a"/>
    <w:pPr>
      <w:spacing w:after="150"/>
    </w:pPr>
  </w:style>
  <w:style w:type="paragraph" w:customStyle="1" w:styleId="col-lg-3">
    <w:name w:val="col-lg-3"/>
    <w:basedOn w:val="a"/>
    <w:pPr>
      <w:spacing w:after="150"/>
    </w:pPr>
  </w:style>
  <w:style w:type="paragraph" w:customStyle="1" w:styleId="col-lg-4">
    <w:name w:val="col-lg-4"/>
    <w:basedOn w:val="a"/>
    <w:pPr>
      <w:spacing w:after="150"/>
    </w:pPr>
  </w:style>
  <w:style w:type="paragraph" w:customStyle="1" w:styleId="col-lg-5">
    <w:name w:val="col-lg-5"/>
    <w:basedOn w:val="a"/>
    <w:pPr>
      <w:spacing w:after="150"/>
    </w:pPr>
  </w:style>
  <w:style w:type="paragraph" w:customStyle="1" w:styleId="col-lg-6">
    <w:name w:val="col-lg-6"/>
    <w:basedOn w:val="a"/>
    <w:pPr>
      <w:spacing w:after="150"/>
    </w:pPr>
  </w:style>
  <w:style w:type="paragraph" w:customStyle="1" w:styleId="col-lg-7">
    <w:name w:val="col-lg-7"/>
    <w:basedOn w:val="a"/>
    <w:pPr>
      <w:spacing w:after="150"/>
    </w:pPr>
  </w:style>
  <w:style w:type="paragraph" w:customStyle="1" w:styleId="col-lg-8">
    <w:name w:val="col-lg-8"/>
    <w:basedOn w:val="a"/>
    <w:pPr>
      <w:spacing w:after="150"/>
    </w:pPr>
  </w:style>
  <w:style w:type="paragraph" w:customStyle="1" w:styleId="col-lg-9">
    <w:name w:val="col-lg-9"/>
    <w:basedOn w:val="a"/>
    <w:pPr>
      <w:spacing w:after="150"/>
    </w:pPr>
  </w:style>
  <w:style w:type="paragraph" w:customStyle="1" w:styleId="col-md-1">
    <w:name w:val="col-md-1"/>
    <w:basedOn w:val="a"/>
    <w:pPr>
      <w:spacing w:after="150"/>
    </w:pPr>
  </w:style>
  <w:style w:type="paragraph" w:customStyle="1" w:styleId="col-md-10">
    <w:name w:val="col-md-10"/>
    <w:basedOn w:val="a"/>
    <w:pPr>
      <w:spacing w:after="150"/>
    </w:pPr>
  </w:style>
  <w:style w:type="paragraph" w:customStyle="1" w:styleId="col-md-11">
    <w:name w:val="col-md-11"/>
    <w:basedOn w:val="a"/>
    <w:pPr>
      <w:spacing w:after="150"/>
    </w:pPr>
  </w:style>
  <w:style w:type="paragraph" w:customStyle="1" w:styleId="col-md-12">
    <w:name w:val="col-md-12"/>
    <w:basedOn w:val="a"/>
    <w:pPr>
      <w:spacing w:after="150"/>
    </w:pPr>
  </w:style>
  <w:style w:type="paragraph" w:customStyle="1" w:styleId="col-md-2">
    <w:name w:val="col-md-2"/>
    <w:basedOn w:val="a"/>
    <w:pPr>
      <w:spacing w:after="150"/>
    </w:pPr>
  </w:style>
  <w:style w:type="paragraph" w:customStyle="1" w:styleId="col-md-3">
    <w:name w:val="col-md-3"/>
    <w:basedOn w:val="a"/>
    <w:pPr>
      <w:spacing w:after="150"/>
    </w:pPr>
  </w:style>
  <w:style w:type="paragraph" w:customStyle="1" w:styleId="col-md-4">
    <w:name w:val="col-md-4"/>
    <w:basedOn w:val="a"/>
    <w:pPr>
      <w:spacing w:after="150"/>
    </w:pPr>
  </w:style>
  <w:style w:type="paragraph" w:customStyle="1" w:styleId="col-md-5">
    <w:name w:val="col-md-5"/>
    <w:basedOn w:val="a"/>
    <w:pPr>
      <w:spacing w:after="150"/>
    </w:pPr>
  </w:style>
  <w:style w:type="paragraph" w:customStyle="1" w:styleId="col-md-6">
    <w:name w:val="col-md-6"/>
    <w:basedOn w:val="a"/>
    <w:pPr>
      <w:spacing w:after="150"/>
    </w:pPr>
  </w:style>
  <w:style w:type="paragraph" w:customStyle="1" w:styleId="col-md-7">
    <w:name w:val="col-md-7"/>
    <w:basedOn w:val="a"/>
    <w:pPr>
      <w:spacing w:after="150"/>
    </w:pPr>
  </w:style>
  <w:style w:type="paragraph" w:customStyle="1" w:styleId="col-md-8">
    <w:name w:val="col-md-8"/>
    <w:basedOn w:val="a"/>
    <w:pPr>
      <w:spacing w:after="150"/>
    </w:pPr>
  </w:style>
  <w:style w:type="paragraph" w:customStyle="1" w:styleId="col-md-9">
    <w:name w:val="col-md-9"/>
    <w:basedOn w:val="a"/>
    <w:pPr>
      <w:spacing w:after="150"/>
    </w:pPr>
  </w:style>
  <w:style w:type="paragraph" w:customStyle="1" w:styleId="col-sm-1">
    <w:name w:val="col-sm-1"/>
    <w:basedOn w:val="a"/>
    <w:pPr>
      <w:spacing w:after="150"/>
    </w:pPr>
  </w:style>
  <w:style w:type="paragraph" w:customStyle="1" w:styleId="col-sm-10">
    <w:name w:val="col-sm-10"/>
    <w:basedOn w:val="a"/>
    <w:pPr>
      <w:spacing w:after="150"/>
    </w:pPr>
  </w:style>
  <w:style w:type="paragraph" w:customStyle="1" w:styleId="col-sm-11">
    <w:name w:val="col-sm-11"/>
    <w:basedOn w:val="a"/>
    <w:pPr>
      <w:spacing w:after="150"/>
    </w:pPr>
  </w:style>
  <w:style w:type="paragraph" w:customStyle="1" w:styleId="col-sm-12">
    <w:name w:val="col-sm-12"/>
    <w:basedOn w:val="a"/>
    <w:pPr>
      <w:spacing w:after="150"/>
    </w:pPr>
  </w:style>
  <w:style w:type="paragraph" w:customStyle="1" w:styleId="col-sm-2">
    <w:name w:val="col-sm-2"/>
    <w:basedOn w:val="a"/>
    <w:pPr>
      <w:spacing w:after="150"/>
    </w:pPr>
  </w:style>
  <w:style w:type="paragraph" w:customStyle="1" w:styleId="col-sm-3">
    <w:name w:val="col-sm-3"/>
    <w:basedOn w:val="a"/>
    <w:pPr>
      <w:spacing w:after="150"/>
    </w:pPr>
  </w:style>
  <w:style w:type="paragraph" w:customStyle="1" w:styleId="col-sm-4">
    <w:name w:val="col-sm-4"/>
    <w:basedOn w:val="a"/>
    <w:pPr>
      <w:spacing w:after="150"/>
    </w:pPr>
  </w:style>
  <w:style w:type="paragraph" w:customStyle="1" w:styleId="col-sm-5">
    <w:name w:val="col-sm-5"/>
    <w:basedOn w:val="a"/>
    <w:pPr>
      <w:spacing w:after="150"/>
    </w:pPr>
  </w:style>
  <w:style w:type="paragraph" w:customStyle="1" w:styleId="col-sm-6">
    <w:name w:val="col-sm-6"/>
    <w:basedOn w:val="a"/>
    <w:pPr>
      <w:spacing w:after="150"/>
    </w:pPr>
  </w:style>
  <w:style w:type="paragraph" w:customStyle="1" w:styleId="col-sm-7">
    <w:name w:val="col-sm-7"/>
    <w:basedOn w:val="a"/>
    <w:pPr>
      <w:spacing w:after="150"/>
    </w:pPr>
  </w:style>
  <w:style w:type="paragraph" w:customStyle="1" w:styleId="col-sm-8">
    <w:name w:val="col-sm-8"/>
    <w:basedOn w:val="a"/>
    <w:pPr>
      <w:spacing w:after="150"/>
    </w:pPr>
  </w:style>
  <w:style w:type="paragraph" w:customStyle="1" w:styleId="col-sm-9">
    <w:name w:val="col-sm-9"/>
    <w:basedOn w:val="a"/>
    <w:pPr>
      <w:spacing w:after="150"/>
    </w:pPr>
  </w:style>
  <w:style w:type="paragraph" w:customStyle="1" w:styleId="col-xs-1">
    <w:name w:val="col-xs-1"/>
    <w:basedOn w:val="a"/>
    <w:pPr>
      <w:spacing w:after="150"/>
    </w:pPr>
  </w:style>
  <w:style w:type="paragraph" w:customStyle="1" w:styleId="col-xs-10">
    <w:name w:val="col-xs-10"/>
    <w:basedOn w:val="a"/>
    <w:pPr>
      <w:spacing w:after="150"/>
    </w:pPr>
  </w:style>
  <w:style w:type="paragraph" w:customStyle="1" w:styleId="col-xs-11">
    <w:name w:val="col-xs-11"/>
    <w:basedOn w:val="a"/>
    <w:pPr>
      <w:spacing w:after="150"/>
    </w:pPr>
  </w:style>
  <w:style w:type="paragraph" w:customStyle="1" w:styleId="col-xs-12">
    <w:name w:val="col-xs-12"/>
    <w:basedOn w:val="a"/>
    <w:pPr>
      <w:spacing w:after="150"/>
    </w:pPr>
  </w:style>
  <w:style w:type="paragraph" w:customStyle="1" w:styleId="col-xs-2">
    <w:name w:val="col-xs-2"/>
    <w:basedOn w:val="a"/>
    <w:pPr>
      <w:spacing w:after="150"/>
    </w:pPr>
  </w:style>
  <w:style w:type="paragraph" w:customStyle="1" w:styleId="col-xs-3">
    <w:name w:val="col-xs-3"/>
    <w:basedOn w:val="a"/>
    <w:pPr>
      <w:spacing w:after="150"/>
    </w:pPr>
  </w:style>
  <w:style w:type="paragraph" w:customStyle="1" w:styleId="col-xs-4">
    <w:name w:val="col-xs-4"/>
    <w:basedOn w:val="a"/>
    <w:pPr>
      <w:spacing w:after="150"/>
    </w:pPr>
  </w:style>
  <w:style w:type="paragraph" w:customStyle="1" w:styleId="col-xs-5">
    <w:name w:val="col-xs-5"/>
    <w:basedOn w:val="a"/>
    <w:pPr>
      <w:spacing w:after="150"/>
    </w:pPr>
  </w:style>
  <w:style w:type="paragraph" w:customStyle="1" w:styleId="col-xs-6">
    <w:name w:val="col-xs-6"/>
    <w:basedOn w:val="a"/>
    <w:pPr>
      <w:spacing w:after="150"/>
    </w:pPr>
  </w:style>
  <w:style w:type="paragraph" w:customStyle="1" w:styleId="col-xs-7">
    <w:name w:val="col-xs-7"/>
    <w:basedOn w:val="a"/>
    <w:pPr>
      <w:spacing w:after="150"/>
    </w:pPr>
  </w:style>
  <w:style w:type="paragraph" w:customStyle="1" w:styleId="col-xs-8">
    <w:name w:val="col-xs-8"/>
    <w:basedOn w:val="a"/>
    <w:pPr>
      <w:spacing w:after="150"/>
    </w:pPr>
  </w:style>
  <w:style w:type="paragraph" w:customStyle="1" w:styleId="col-xs-9">
    <w:name w:val="col-xs-9"/>
    <w:basedOn w:val="a"/>
    <w:pPr>
      <w:spacing w:after="150"/>
    </w:pPr>
  </w:style>
  <w:style w:type="paragraph" w:customStyle="1" w:styleId="col-xs-offset-12">
    <w:name w:val="col-xs-offset-12"/>
    <w:basedOn w:val="a"/>
    <w:pPr>
      <w:spacing w:after="150"/>
      <w:ind w:left="11906"/>
    </w:pPr>
  </w:style>
  <w:style w:type="paragraph" w:customStyle="1" w:styleId="col-xs-offset-11">
    <w:name w:val="col-xs-offset-11"/>
    <w:basedOn w:val="a"/>
    <w:pPr>
      <w:spacing w:after="150"/>
      <w:ind w:left="10834"/>
    </w:pPr>
  </w:style>
  <w:style w:type="paragraph" w:customStyle="1" w:styleId="col-xs-offset-10">
    <w:name w:val="col-xs-offset-10"/>
    <w:basedOn w:val="a"/>
    <w:pPr>
      <w:spacing w:after="150"/>
      <w:ind w:left="9881"/>
    </w:pPr>
  </w:style>
  <w:style w:type="paragraph" w:customStyle="1" w:styleId="col-xs-offset-9">
    <w:name w:val="col-xs-offset-9"/>
    <w:basedOn w:val="a"/>
    <w:pPr>
      <w:spacing w:after="150"/>
      <w:ind w:left="8929"/>
    </w:pPr>
  </w:style>
  <w:style w:type="paragraph" w:customStyle="1" w:styleId="col-xs-offset-8">
    <w:name w:val="col-xs-offset-8"/>
    <w:basedOn w:val="a"/>
    <w:pPr>
      <w:spacing w:after="150"/>
      <w:ind w:left="7857"/>
    </w:pPr>
  </w:style>
  <w:style w:type="paragraph" w:customStyle="1" w:styleId="col-xs-offset-7">
    <w:name w:val="col-xs-offset-7"/>
    <w:basedOn w:val="a"/>
    <w:pPr>
      <w:spacing w:after="150"/>
      <w:ind w:left="6905"/>
    </w:pPr>
  </w:style>
  <w:style w:type="paragraph" w:customStyle="1" w:styleId="col-xs-offset-6">
    <w:name w:val="col-xs-offset-6"/>
    <w:basedOn w:val="a"/>
    <w:pPr>
      <w:spacing w:after="150"/>
      <w:ind w:left="5953"/>
    </w:pPr>
  </w:style>
  <w:style w:type="paragraph" w:customStyle="1" w:styleId="col-xs-offset-5">
    <w:name w:val="col-xs-offset-5"/>
    <w:basedOn w:val="a"/>
    <w:pPr>
      <w:spacing w:after="150"/>
      <w:ind w:left="4881"/>
    </w:pPr>
  </w:style>
  <w:style w:type="paragraph" w:customStyle="1" w:styleId="col-xs-offset-4">
    <w:name w:val="col-xs-offset-4"/>
    <w:basedOn w:val="a"/>
    <w:pPr>
      <w:spacing w:after="150"/>
      <w:ind w:left="3928"/>
    </w:pPr>
  </w:style>
  <w:style w:type="paragraph" w:customStyle="1" w:styleId="col-xs-offset-3">
    <w:name w:val="col-xs-offset-3"/>
    <w:basedOn w:val="a"/>
    <w:pPr>
      <w:spacing w:after="150"/>
      <w:ind w:left="2976"/>
    </w:pPr>
  </w:style>
  <w:style w:type="paragraph" w:customStyle="1" w:styleId="col-xs-offset-2">
    <w:name w:val="col-xs-offset-2"/>
    <w:basedOn w:val="a"/>
    <w:pPr>
      <w:spacing w:after="150"/>
      <w:ind w:left="1904"/>
    </w:pPr>
  </w:style>
  <w:style w:type="paragraph" w:customStyle="1" w:styleId="col-xs-offset-1">
    <w:name w:val="col-xs-offset-1"/>
    <w:basedOn w:val="a"/>
    <w:pPr>
      <w:spacing w:after="150"/>
      <w:ind w:left="952"/>
    </w:pPr>
  </w:style>
  <w:style w:type="paragraph" w:customStyle="1" w:styleId="col-xs-offset-0">
    <w:name w:val="col-xs-offset-0"/>
    <w:basedOn w:val="a"/>
    <w:pPr>
      <w:spacing w:after="150"/>
    </w:pPr>
  </w:style>
  <w:style w:type="paragraph" w:customStyle="1" w:styleId="table">
    <w:name w:val="table"/>
    <w:basedOn w:val="a"/>
    <w:pPr>
      <w:spacing w:after="300"/>
    </w:pPr>
  </w:style>
  <w:style w:type="paragraph" w:customStyle="1" w:styleId="tabletbodytrtd">
    <w:name w:val="table&gt;tbody&gt;tr&gt;td"/>
    <w:basedOn w:val="a"/>
    <w:pPr>
      <w:pBdr>
        <w:top w:val="single" w:sz="6" w:space="6" w:color="DDDDDD"/>
      </w:pBdr>
      <w:spacing w:after="150"/>
      <w:textAlignment w:val="top"/>
    </w:pPr>
  </w:style>
  <w:style w:type="paragraph" w:customStyle="1" w:styleId="tabletbodytrth">
    <w:name w:val="table&gt;tbody&gt;tr&gt;th"/>
    <w:basedOn w:val="a"/>
    <w:pPr>
      <w:pBdr>
        <w:top w:val="single" w:sz="6" w:space="6" w:color="DDDDDD"/>
      </w:pBdr>
      <w:spacing w:after="150"/>
      <w:textAlignment w:val="top"/>
    </w:pPr>
  </w:style>
  <w:style w:type="paragraph" w:customStyle="1" w:styleId="tabletfoottrtd">
    <w:name w:val="table&gt;tfoot&gt;tr&gt;td"/>
    <w:basedOn w:val="a"/>
    <w:pPr>
      <w:pBdr>
        <w:top w:val="single" w:sz="6" w:space="6" w:color="DDDDDD"/>
      </w:pBdr>
      <w:spacing w:after="150"/>
      <w:textAlignment w:val="top"/>
    </w:pPr>
  </w:style>
  <w:style w:type="paragraph" w:customStyle="1" w:styleId="tabletfoottrth">
    <w:name w:val="table&gt;tfoot&gt;tr&gt;th"/>
    <w:basedOn w:val="a"/>
    <w:pPr>
      <w:pBdr>
        <w:top w:val="single" w:sz="6" w:space="6" w:color="DDDDDD"/>
      </w:pBdr>
      <w:spacing w:after="150"/>
      <w:textAlignment w:val="top"/>
    </w:pPr>
  </w:style>
  <w:style w:type="paragraph" w:customStyle="1" w:styleId="tabletheadtrtd">
    <w:name w:val="table&gt;thead&gt;tr&gt;td"/>
    <w:basedOn w:val="a"/>
    <w:pPr>
      <w:pBdr>
        <w:top w:val="single" w:sz="6" w:space="6" w:color="DDDDDD"/>
      </w:pBdr>
      <w:spacing w:after="150"/>
      <w:textAlignment w:val="top"/>
    </w:pPr>
  </w:style>
  <w:style w:type="paragraph" w:customStyle="1" w:styleId="tabletheadtrth">
    <w:name w:val="table&gt;thead&gt;tr&gt;th"/>
    <w:basedOn w:val="a"/>
    <w:pPr>
      <w:pBdr>
        <w:top w:val="single" w:sz="6" w:space="6" w:color="DDDDDD"/>
        <w:bottom w:val="single" w:sz="12" w:space="0" w:color="DDDDDD"/>
      </w:pBdr>
      <w:spacing w:after="150"/>
      <w:textAlignment w:val="bottom"/>
    </w:pPr>
  </w:style>
  <w:style w:type="paragraph" w:customStyle="1" w:styleId="table-condensedtbodytrtd">
    <w:name w:val="table-condensed&gt;tbody&gt;tr&gt;td"/>
    <w:basedOn w:val="a"/>
    <w:pPr>
      <w:spacing w:after="150"/>
    </w:pPr>
  </w:style>
  <w:style w:type="paragraph" w:customStyle="1" w:styleId="table-condensedtbodytrth">
    <w:name w:val="table-condensed&gt;tbody&gt;tr&gt;th"/>
    <w:basedOn w:val="a"/>
    <w:pPr>
      <w:spacing w:after="150"/>
    </w:pPr>
  </w:style>
  <w:style w:type="paragraph" w:customStyle="1" w:styleId="table-condensedtfoottrtd">
    <w:name w:val="table-condensed&gt;tfoot&gt;tr&gt;td"/>
    <w:basedOn w:val="a"/>
    <w:pPr>
      <w:spacing w:after="150"/>
    </w:pPr>
  </w:style>
  <w:style w:type="paragraph" w:customStyle="1" w:styleId="table-condensedtfoottrth">
    <w:name w:val="table-condensed&gt;tfoot&gt;tr&gt;th"/>
    <w:basedOn w:val="a"/>
    <w:pPr>
      <w:spacing w:after="150"/>
    </w:pPr>
  </w:style>
  <w:style w:type="paragraph" w:customStyle="1" w:styleId="table-condensedtheadtrtd">
    <w:name w:val="table-condensed&gt;thead&gt;tr&gt;td"/>
    <w:basedOn w:val="a"/>
    <w:pPr>
      <w:spacing w:after="150"/>
    </w:pPr>
  </w:style>
  <w:style w:type="paragraph" w:customStyle="1" w:styleId="table-condensedtheadtrth">
    <w:name w:val="table-condensed&gt;thead&gt;tr&gt;th"/>
    <w:basedOn w:val="a"/>
    <w:pPr>
      <w:spacing w:after="150"/>
    </w:pPr>
  </w:style>
  <w:style w:type="paragraph" w:customStyle="1" w:styleId="table-bordered">
    <w:name w:val="table-bordered"/>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bodytrtd">
    <w:name w:val="table-bordered&gt;tbody&gt;tr&gt;td"/>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bodytrth">
    <w:name w:val="table-bordered&gt;tbody&gt;tr&gt;th"/>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d">
    <w:name w:val="table-bordered&gt;tfoot&gt;tr&gt;td"/>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h">
    <w:name w:val="table-bordered&gt;tfoot&gt;tr&gt;th"/>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headtrtd">
    <w:name w:val="table-bordered&gt;thead&gt;tr&gt;td"/>
    <w:basedOn w:val="a"/>
    <w:pPr>
      <w:pBdr>
        <w:top w:val="single" w:sz="6" w:space="0" w:color="DDDDDD"/>
        <w:left w:val="single" w:sz="6" w:space="0" w:color="DDDDDD"/>
        <w:bottom w:val="single" w:sz="12" w:space="0" w:color="DDDDDD"/>
        <w:right w:val="single" w:sz="6" w:space="0" w:color="DDDDDD"/>
      </w:pBdr>
      <w:spacing w:after="150"/>
    </w:pPr>
  </w:style>
  <w:style w:type="paragraph" w:customStyle="1" w:styleId="table-borderedtheadtrth">
    <w:name w:val="table-bordered&gt;thead&gt;tr&gt;th"/>
    <w:basedOn w:val="a"/>
    <w:pPr>
      <w:pBdr>
        <w:top w:val="single" w:sz="6" w:space="0" w:color="DDDDDD"/>
        <w:left w:val="single" w:sz="6" w:space="0" w:color="DDDDDD"/>
        <w:bottom w:val="single" w:sz="12" w:space="0" w:color="DDDDDD"/>
        <w:right w:val="single" w:sz="6" w:space="0" w:color="DDDDDD"/>
      </w:pBdr>
      <w:spacing w:after="150"/>
    </w:pPr>
  </w:style>
  <w:style w:type="paragraph" w:customStyle="1" w:styleId="form-control">
    <w:name w:val="form-control"/>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group">
    <w:name w:val="form-group"/>
    <w:basedOn w:val="a"/>
    <w:pPr>
      <w:spacing w:after="225"/>
    </w:pPr>
  </w:style>
  <w:style w:type="paragraph" w:customStyle="1" w:styleId="checkbox">
    <w:name w:val="checkbox"/>
    <w:basedOn w:val="a"/>
    <w:pPr>
      <w:spacing w:before="150" w:after="150"/>
    </w:pPr>
  </w:style>
  <w:style w:type="paragraph" w:customStyle="1" w:styleId="radio">
    <w:name w:val="radio"/>
    <w:basedOn w:val="a"/>
    <w:pPr>
      <w:spacing w:before="150" w:after="150"/>
    </w:pPr>
  </w:style>
  <w:style w:type="paragraph" w:customStyle="1" w:styleId="checkbox-inline">
    <w:name w:val="checkbox-inline"/>
    <w:basedOn w:val="a"/>
    <w:pPr>
      <w:textAlignment w:val="center"/>
    </w:pPr>
  </w:style>
  <w:style w:type="paragraph" w:customStyle="1" w:styleId="radio-inline">
    <w:name w:val="radio-inline"/>
    <w:basedOn w:val="a"/>
    <w:pPr>
      <w:textAlignment w:val="center"/>
    </w:pPr>
  </w:style>
  <w:style w:type="paragraph" w:customStyle="1" w:styleId="form-control-static">
    <w:name w:val="form-control-static"/>
    <w:basedOn w:val="a"/>
  </w:style>
  <w:style w:type="paragraph" w:customStyle="1" w:styleId="input-sm">
    <w:name w:val="input-sm"/>
    <w:basedOn w:val="a"/>
    <w:pPr>
      <w:spacing w:after="150"/>
    </w:pPr>
    <w:rPr>
      <w:sz w:val="18"/>
      <w:szCs w:val="18"/>
    </w:rPr>
  </w:style>
  <w:style w:type="paragraph" w:customStyle="1" w:styleId="input-lg">
    <w:name w:val="input-lg"/>
    <w:basedOn w:val="a"/>
    <w:pPr>
      <w:spacing w:after="150"/>
    </w:pPr>
    <w:rPr>
      <w:sz w:val="27"/>
      <w:szCs w:val="27"/>
    </w:rPr>
  </w:style>
  <w:style w:type="paragraph" w:customStyle="1" w:styleId="form-control-feedback">
    <w:name w:val="form-control-feedback"/>
    <w:basedOn w:val="a"/>
    <w:pPr>
      <w:spacing w:after="150" w:line="510" w:lineRule="atLeast"/>
      <w:jc w:val="center"/>
    </w:pPr>
  </w:style>
  <w:style w:type="paragraph" w:customStyle="1" w:styleId="help-block">
    <w:name w:val="help-block"/>
    <w:basedOn w:val="a"/>
    <w:pPr>
      <w:spacing w:before="75" w:after="150"/>
    </w:pPr>
    <w:rPr>
      <w:color w:val="737373"/>
    </w:rPr>
  </w:style>
  <w:style w:type="paragraph" w:customStyle="1" w:styleId="btn">
    <w:name w:val="btn"/>
    <w:basedOn w:val="a"/>
    <w:pPr>
      <w:jc w:val="center"/>
      <w:textAlignment w:val="center"/>
    </w:pPr>
    <w:rPr>
      <w:sz w:val="21"/>
      <w:szCs w:val="21"/>
    </w:rPr>
  </w:style>
  <w:style w:type="paragraph" w:customStyle="1" w:styleId="btn-default">
    <w:name w:val="btn-default"/>
    <w:basedOn w:val="a"/>
    <w:pPr>
      <w:shd w:val="clear" w:color="auto" w:fill="FFFFFF"/>
      <w:spacing w:after="150"/>
    </w:pPr>
    <w:rPr>
      <w:color w:val="333333"/>
    </w:rPr>
  </w:style>
  <w:style w:type="paragraph" w:customStyle="1" w:styleId="btn-primary">
    <w:name w:val="btn-primary"/>
    <w:basedOn w:val="a"/>
    <w:pPr>
      <w:shd w:val="clear" w:color="auto" w:fill="337AB7"/>
      <w:spacing w:after="150"/>
    </w:pPr>
    <w:rPr>
      <w:color w:val="FFFFFF"/>
    </w:rPr>
  </w:style>
  <w:style w:type="paragraph" w:customStyle="1" w:styleId="btn-success">
    <w:name w:val="btn-success"/>
    <w:basedOn w:val="a"/>
    <w:pPr>
      <w:shd w:val="clear" w:color="auto" w:fill="5CB85C"/>
      <w:spacing w:after="150"/>
    </w:pPr>
    <w:rPr>
      <w:color w:val="FFFFFF"/>
    </w:rPr>
  </w:style>
  <w:style w:type="paragraph" w:customStyle="1" w:styleId="btn-info">
    <w:name w:val="btn-info"/>
    <w:basedOn w:val="a"/>
    <w:pPr>
      <w:shd w:val="clear" w:color="auto" w:fill="5BC0DE"/>
      <w:spacing w:after="150"/>
    </w:pPr>
    <w:rPr>
      <w:color w:val="FFFFFF"/>
    </w:rPr>
  </w:style>
  <w:style w:type="paragraph" w:customStyle="1" w:styleId="btn-warning">
    <w:name w:val="btn-warning"/>
    <w:basedOn w:val="a"/>
    <w:pPr>
      <w:shd w:val="clear" w:color="auto" w:fill="F0AD4E"/>
      <w:spacing w:after="150"/>
    </w:pPr>
    <w:rPr>
      <w:color w:val="FFFFFF"/>
    </w:rPr>
  </w:style>
  <w:style w:type="paragraph" w:customStyle="1" w:styleId="btn-danger">
    <w:name w:val="btn-danger"/>
    <w:basedOn w:val="a"/>
    <w:pPr>
      <w:shd w:val="clear" w:color="auto" w:fill="D9534F"/>
      <w:spacing w:after="150"/>
    </w:pPr>
    <w:rPr>
      <w:color w:val="FFFFFF"/>
    </w:rPr>
  </w:style>
  <w:style w:type="paragraph" w:customStyle="1" w:styleId="btn-link">
    <w:name w:val="btn-link"/>
    <w:basedOn w:val="a"/>
    <w:pPr>
      <w:spacing w:after="150"/>
    </w:pPr>
    <w:rPr>
      <w:color w:val="337AB7"/>
    </w:rPr>
  </w:style>
  <w:style w:type="paragraph" w:customStyle="1" w:styleId="btn-block">
    <w:name w:val="btn-block"/>
    <w:basedOn w:val="a"/>
    <w:pPr>
      <w:spacing w:after="150"/>
    </w:pPr>
  </w:style>
  <w:style w:type="paragraph" w:customStyle="1" w:styleId="collapse">
    <w:name w:val="collapse"/>
    <w:basedOn w:val="a"/>
    <w:pPr>
      <w:spacing w:after="150"/>
    </w:pPr>
    <w:rPr>
      <w:vanish/>
    </w:rPr>
  </w:style>
  <w:style w:type="paragraph" w:customStyle="1" w:styleId="collapsing">
    <w:name w:val="collapsing"/>
    <w:basedOn w:val="a"/>
    <w:pPr>
      <w:spacing w:after="150"/>
    </w:pPr>
  </w:style>
  <w:style w:type="paragraph" w:customStyle="1" w:styleId="caret">
    <w:name w:val="caret"/>
    <w:basedOn w:val="a"/>
    <w:pPr>
      <w:pBdr>
        <w:top w:val="dashed" w:sz="24" w:space="0" w:color="auto"/>
      </w:pBdr>
      <w:spacing w:after="150"/>
      <w:ind w:left="30"/>
      <w:textAlignment w:val="center"/>
    </w:pPr>
  </w:style>
  <w:style w:type="paragraph" w:customStyle="1" w:styleId="dropdown-menu">
    <w:name w:val="dropdown-menu"/>
    <w:basedOn w:val="a"/>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menulia">
    <w:name w:val="dropdown-menu&gt;li&gt;a"/>
    <w:basedOn w:val="a"/>
    <w:pPr>
      <w:spacing w:after="150"/>
    </w:pPr>
    <w:rPr>
      <w:color w:val="333333"/>
    </w:rPr>
  </w:style>
  <w:style w:type="paragraph" w:customStyle="1" w:styleId="dropdown-header">
    <w:name w:val="dropdown-header"/>
    <w:basedOn w:val="a"/>
    <w:pPr>
      <w:spacing w:after="150"/>
    </w:pPr>
    <w:rPr>
      <w:color w:val="777777"/>
      <w:sz w:val="18"/>
      <w:szCs w:val="18"/>
    </w:rPr>
  </w:style>
  <w:style w:type="paragraph" w:customStyle="1" w:styleId="btn-group">
    <w:name w:val="btn-group"/>
    <w:basedOn w:val="a"/>
    <w:pPr>
      <w:spacing w:after="150"/>
      <w:textAlignment w:val="center"/>
    </w:pPr>
  </w:style>
  <w:style w:type="paragraph" w:customStyle="1" w:styleId="btn-group-vertical">
    <w:name w:val="btn-group-vertical"/>
    <w:basedOn w:val="a"/>
    <w:pPr>
      <w:spacing w:after="150"/>
      <w:textAlignment w:val="center"/>
    </w:pPr>
  </w:style>
  <w:style w:type="paragraph" w:customStyle="1" w:styleId="btn-toolbar">
    <w:name w:val="btn-toolbar"/>
    <w:basedOn w:val="a"/>
    <w:pPr>
      <w:spacing w:after="150"/>
      <w:ind w:left="-75"/>
    </w:pPr>
  </w:style>
  <w:style w:type="paragraph" w:customStyle="1" w:styleId="btn-group-justified">
    <w:name w:val="btn-group-justified"/>
    <w:basedOn w:val="a"/>
    <w:pPr>
      <w:spacing w:after="150"/>
    </w:pPr>
  </w:style>
  <w:style w:type="paragraph" w:customStyle="1" w:styleId="input-groupclasscol-">
    <w:name w:val="input-group[class*=col-]"/>
    <w:basedOn w:val="a"/>
    <w:pPr>
      <w:spacing w:after="150"/>
    </w:pPr>
  </w:style>
  <w:style w:type="paragraph" w:customStyle="1" w:styleId="input-group-addon">
    <w:name w:val="input-group-addon"/>
    <w:basedOn w:val="a"/>
    <w:pPr>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color w:val="555555"/>
      <w:sz w:val="21"/>
      <w:szCs w:val="21"/>
    </w:rPr>
  </w:style>
  <w:style w:type="paragraph" w:customStyle="1" w:styleId="input-group-btn">
    <w:name w:val="input-group-btn"/>
    <w:basedOn w:val="a"/>
    <w:pPr>
      <w:spacing w:after="150"/>
      <w:textAlignment w:val="center"/>
    </w:pPr>
    <w:rPr>
      <w:sz w:val="2"/>
      <w:szCs w:val="2"/>
    </w:rPr>
  </w:style>
  <w:style w:type="paragraph" w:customStyle="1" w:styleId="nav">
    <w:name w:val="nav"/>
    <w:basedOn w:val="a"/>
  </w:style>
  <w:style w:type="paragraph" w:customStyle="1" w:styleId="navli">
    <w:name w:val="nav&gt;li"/>
    <w:basedOn w:val="a"/>
    <w:pPr>
      <w:spacing w:after="150"/>
    </w:pPr>
  </w:style>
  <w:style w:type="paragraph" w:customStyle="1" w:styleId="navlia">
    <w:name w:val="nav&gt;li&gt;a"/>
    <w:basedOn w:val="a"/>
    <w:pPr>
      <w:spacing w:after="150"/>
    </w:pPr>
  </w:style>
  <w:style w:type="paragraph" w:customStyle="1" w:styleId="nav-tabs">
    <w:name w:val="nav-tabs"/>
    <w:basedOn w:val="a"/>
    <w:pPr>
      <w:pBdr>
        <w:bottom w:val="single" w:sz="6" w:space="0" w:color="DDDDDD"/>
      </w:pBdr>
      <w:spacing w:after="150"/>
    </w:pPr>
  </w:style>
  <w:style w:type="paragraph" w:customStyle="1" w:styleId="nav-tabsli">
    <w:name w:val="nav-tabs&gt;li"/>
    <w:basedOn w:val="a"/>
  </w:style>
  <w:style w:type="paragraph" w:customStyle="1" w:styleId="nav-tabslia">
    <w:name w:val="nav-tabs&gt;li&gt;a"/>
    <w:basedOn w:val="a"/>
    <w:pPr>
      <w:spacing w:after="150"/>
      <w:ind w:right="30"/>
    </w:pPr>
  </w:style>
  <w:style w:type="paragraph" w:customStyle="1" w:styleId="nav-justified">
    <w:name w:val="nav-justified"/>
    <w:basedOn w:val="a"/>
    <w:pPr>
      <w:spacing w:after="150"/>
    </w:pPr>
  </w:style>
  <w:style w:type="paragraph" w:customStyle="1" w:styleId="nav-justifiedlia">
    <w:name w:val="nav-justified&gt;li&gt;a"/>
    <w:basedOn w:val="a"/>
    <w:pPr>
      <w:spacing w:after="75"/>
      <w:jc w:val="center"/>
    </w:pPr>
  </w:style>
  <w:style w:type="paragraph" w:customStyle="1" w:styleId="nav-tabs-justified">
    <w:name w:val="nav-tabs-justified"/>
    <w:basedOn w:val="a"/>
    <w:pPr>
      <w:spacing w:after="150"/>
    </w:pPr>
  </w:style>
  <w:style w:type="paragraph" w:customStyle="1" w:styleId="nav-tabs-justifiedlia">
    <w:name w:val="nav-tabs-justified&gt;li&gt;a"/>
    <w:basedOn w:val="a"/>
    <w:pPr>
      <w:spacing w:after="150"/>
    </w:pPr>
  </w:style>
  <w:style w:type="paragraph" w:customStyle="1" w:styleId="navbar">
    <w:name w:val="navbar"/>
    <w:basedOn w:val="a"/>
    <w:pPr>
      <w:spacing w:after="300"/>
    </w:pPr>
  </w:style>
  <w:style w:type="paragraph" w:customStyle="1" w:styleId="navbar-collapse">
    <w:name w:val="navbar-collapse"/>
    <w:basedOn w:val="a"/>
    <w:pPr>
      <w:spacing w:after="150"/>
    </w:pPr>
  </w:style>
  <w:style w:type="paragraph" w:customStyle="1" w:styleId="navbar-static-top">
    <w:name w:val="navbar-static-top"/>
    <w:basedOn w:val="a"/>
    <w:pPr>
      <w:spacing w:after="150"/>
    </w:pPr>
  </w:style>
  <w:style w:type="paragraph" w:customStyle="1" w:styleId="navbar-fixed-top">
    <w:name w:val="navbar-fixed-top"/>
    <w:basedOn w:val="a"/>
    <w:pPr>
      <w:spacing w:after="150"/>
    </w:pPr>
  </w:style>
  <w:style w:type="paragraph" w:customStyle="1" w:styleId="navbar-fixed-bottom">
    <w:name w:val="navbar-fixed-bottom"/>
    <w:basedOn w:val="a"/>
  </w:style>
  <w:style w:type="paragraph" w:customStyle="1" w:styleId="navbar-brand">
    <w:name w:val="navbar-brand"/>
    <w:basedOn w:val="a"/>
    <w:pPr>
      <w:spacing w:after="150" w:line="300" w:lineRule="atLeast"/>
    </w:pPr>
    <w:rPr>
      <w:sz w:val="27"/>
      <w:szCs w:val="27"/>
    </w:rPr>
  </w:style>
  <w:style w:type="paragraph" w:customStyle="1" w:styleId="navbar-brandimg">
    <w:name w:val="navbar-brand&gt;img"/>
    <w:basedOn w:val="a"/>
    <w:pPr>
      <w:spacing w:after="150"/>
    </w:pPr>
  </w:style>
  <w:style w:type="paragraph" w:customStyle="1" w:styleId="navbar-toggle">
    <w:name w:val="navbar-toggle"/>
    <w:basedOn w:val="a"/>
    <w:pPr>
      <w:spacing w:before="120" w:after="120"/>
      <w:ind w:right="225"/>
    </w:pPr>
  </w:style>
  <w:style w:type="paragraph" w:customStyle="1" w:styleId="navbar-nav">
    <w:name w:val="navbar-nav"/>
    <w:basedOn w:val="a"/>
    <w:pPr>
      <w:spacing w:before="113" w:after="113"/>
      <w:ind w:left="-225" w:right="-225"/>
    </w:pPr>
  </w:style>
  <w:style w:type="paragraph" w:customStyle="1" w:styleId="navbar-navlia">
    <w:name w:val="navbar-nav&gt;li&gt;a"/>
    <w:basedOn w:val="a"/>
    <w:pPr>
      <w:spacing w:after="150" w:line="300" w:lineRule="atLeast"/>
    </w:pPr>
  </w:style>
  <w:style w:type="paragraph" w:customStyle="1" w:styleId="navbar-form">
    <w:name w:val="navbar-form"/>
    <w:basedOn w:val="a"/>
    <w:pPr>
      <w:spacing w:before="120" w:after="120"/>
      <w:ind w:left="-225" w:right="-225"/>
    </w:pPr>
  </w:style>
  <w:style w:type="paragraph" w:customStyle="1" w:styleId="navbar-btn">
    <w:name w:val="navbar-btn"/>
    <w:basedOn w:val="a"/>
    <w:pPr>
      <w:spacing w:before="120" w:after="120"/>
    </w:pPr>
  </w:style>
  <w:style w:type="paragraph" w:customStyle="1" w:styleId="navbar-text">
    <w:name w:val="navbar-text"/>
    <w:basedOn w:val="a"/>
    <w:pPr>
      <w:spacing w:before="225" w:after="225"/>
    </w:pPr>
  </w:style>
  <w:style w:type="paragraph" w:customStyle="1" w:styleId="navbar-default">
    <w:name w:val="navbar-default"/>
    <w:basedOn w:val="a"/>
    <w:pPr>
      <w:shd w:val="clear" w:color="auto" w:fill="F8F8F8"/>
      <w:spacing w:after="150"/>
    </w:pPr>
  </w:style>
  <w:style w:type="paragraph" w:customStyle="1" w:styleId="navbar-inverse">
    <w:name w:val="navbar-inverse"/>
    <w:basedOn w:val="a"/>
    <w:pPr>
      <w:shd w:val="clear" w:color="auto" w:fill="222222"/>
      <w:spacing w:after="150"/>
    </w:pPr>
  </w:style>
  <w:style w:type="paragraph" w:customStyle="1" w:styleId="breadcrumb">
    <w:name w:val="breadcrumb"/>
    <w:basedOn w:val="a"/>
    <w:pPr>
      <w:shd w:val="clear" w:color="auto" w:fill="F5F5F5"/>
      <w:spacing w:after="300"/>
    </w:pPr>
  </w:style>
  <w:style w:type="paragraph" w:customStyle="1" w:styleId="pagination">
    <w:name w:val="pagination"/>
    <w:basedOn w:val="a"/>
    <w:pPr>
      <w:spacing w:before="300" w:after="300"/>
    </w:pPr>
  </w:style>
  <w:style w:type="paragraph" w:customStyle="1" w:styleId="paginationli">
    <w:name w:val="pagination&gt;li"/>
    <w:basedOn w:val="a"/>
    <w:pPr>
      <w:spacing w:after="150"/>
    </w:pPr>
  </w:style>
  <w:style w:type="paragraph" w:customStyle="1" w:styleId="paginationlia">
    <w:name w:val="pagination&gt;li&gt;a"/>
    <w:basedOn w:val="a"/>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337AB7"/>
    </w:rPr>
  </w:style>
  <w:style w:type="paragraph" w:customStyle="1" w:styleId="paginationlispan">
    <w:name w:val="pagination&gt;li&gt;span"/>
    <w:basedOn w:val="a"/>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337AB7"/>
    </w:rPr>
  </w:style>
  <w:style w:type="paragraph" w:customStyle="1" w:styleId="pagination-lglia">
    <w:name w:val="pagination-lg&gt;li&gt;a"/>
    <w:basedOn w:val="a"/>
    <w:pPr>
      <w:spacing w:after="150"/>
    </w:pPr>
    <w:rPr>
      <w:sz w:val="27"/>
      <w:szCs w:val="27"/>
    </w:rPr>
  </w:style>
  <w:style w:type="paragraph" w:customStyle="1" w:styleId="pagination-lglispan">
    <w:name w:val="pagination-lg&gt;li&gt;span"/>
    <w:basedOn w:val="a"/>
    <w:pPr>
      <w:spacing w:after="150"/>
    </w:pPr>
    <w:rPr>
      <w:sz w:val="27"/>
      <w:szCs w:val="27"/>
    </w:rPr>
  </w:style>
  <w:style w:type="paragraph" w:customStyle="1" w:styleId="pagination-smlia">
    <w:name w:val="pagination-sm&gt;li&gt;a"/>
    <w:basedOn w:val="a"/>
    <w:pPr>
      <w:spacing w:after="150"/>
    </w:pPr>
    <w:rPr>
      <w:sz w:val="18"/>
      <w:szCs w:val="18"/>
    </w:rPr>
  </w:style>
  <w:style w:type="paragraph" w:customStyle="1" w:styleId="pagination-smlispan">
    <w:name w:val="pagination-sm&gt;li&gt;span"/>
    <w:basedOn w:val="a"/>
    <w:pPr>
      <w:spacing w:after="150"/>
    </w:pPr>
    <w:rPr>
      <w:sz w:val="18"/>
      <w:szCs w:val="18"/>
    </w:rPr>
  </w:style>
  <w:style w:type="paragraph" w:customStyle="1" w:styleId="pager">
    <w:name w:val="pager"/>
    <w:basedOn w:val="a"/>
    <w:pPr>
      <w:spacing w:before="300" w:after="300"/>
      <w:jc w:val="center"/>
    </w:pPr>
  </w:style>
  <w:style w:type="paragraph" w:customStyle="1" w:styleId="label">
    <w:name w:val="label"/>
    <w:basedOn w:val="a"/>
    <w:pPr>
      <w:spacing w:after="150"/>
      <w:jc w:val="center"/>
      <w:textAlignment w:val="baseline"/>
    </w:pPr>
    <w:rPr>
      <w:b/>
      <w:bCs/>
      <w:color w:val="FFFFFF"/>
      <w:sz w:val="18"/>
      <w:szCs w:val="18"/>
    </w:rPr>
  </w:style>
  <w:style w:type="paragraph" w:customStyle="1" w:styleId="label-default">
    <w:name w:val="label-default"/>
    <w:basedOn w:val="a"/>
    <w:pPr>
      <w:shd w:val="clear" w:color="auto" w:fill="777777"/>
      <w:spacing w:after="150"/>
    </w:pPr>
  </w:style>
  <w:style w:type="paragraph" w:customStyle="1" w:styleId="label-primary">
    <w:name w:val="label-primary"/>
    <w:basedOn w:val="a"/>
    <w:pPr>
      <w:shd w:val="clear" w:color="auto" w:fill="337AB7"/>
      <w:spacing w:after="150"/>
    </w:pPr>
  </w:style>
  <w:style w:type="paragraph" w:customStyle="1" w:styleId="label-success">
    <w:name w:val="label-success"/>
    <w:basedOn w:val="a"/>
    <w:pPr>
      <w:shd w:val="clear" w:color="auto" w:fill="5CB85C"/>
      <w:spacing w:after="150"/>
    </w:pPr>
  </w:style>
  <w:style w:type="paragraph" w:customStyle="1" w:styleId="label-info">
    <w:name w:val="label-info"/>
    <w:basedOn w:val="a"/>
    <w:pPr>
      <w:shd w:val="clear" w:color="auto" w:fill="5BC0DE"/>
      <w:spacing w:after="150"/>
    </w:pPr>
  </w:style>
  <w:style w:type="paragraph" w:customStyle="1" w:styleId="label-warning">
    <w:name w:val="label-warning"/>
    <w:basedOn w:val="a"/>
    <w:pPr>
      <w:shd w:val="clear" w:color="auto" w:fill="F0AD4E"/>
      <w:spacing w:after="150"/>
    </w:pPr>
  </w:style>
  <w:style w:type="paragraph" w:customStyle="1" w:styleId="label-danger">
    <w:name w:val="label-danger"/>
    <w:basedOn w:val="a"/>
    <w:pPr>
      <w:shd w:val="clear" w:color="auto" w:fill="D9534F"/>
      <w:spacing w:after="150"/>
    </w:pPr>
  </w:style>
  <w:style w:type="paragraph" w:customStyle="1" w:styleId="badge">
    <w:name w:val="badge"/>
    <w:basedOn w:val="a"/>
    <w:pPr>
      <w:shd w:val="clear" w:color="auto" w:fill="777777"/>
      <w:spacing w:after="150"/>
      <w:jc w:val="center"/>
      <w:textAlignment w:val="baseline"/>
    </w:pPr>
    <w:rPr>
      <w:b/>
      <w:bCs/>
      <w:color w:val="FFFFFF"/>
      <w:sz w:val="18"/>
      <w:szCs w:val="18"/>
    </w:rPr>
  </w:style>
  <w:style w:type="paragraph" w:customStyle="1" w:styleId="jumbotron">
    <w:name w:val="jumbotron"/>
    <w:basedOn w:val="a"/>
    <w:pPr>
      <w:shd w:val="clear" w:color="auto" w:fill="EEEEEE"/>
      <w:spacing w:after="450"/>
    </w:pPr>
  </w:style>
  <w:style w:type="paragraph" w:customStyle="1" w:styleId="jumbotronhr">
    <w:name w:val="jumbotron&gt;hr"/>
    <w:basedOn w:val="a"/>
    <w:pPr>
      <w:spacing w:after="150"/>
    </w:pPr>
  </w:style>
  <w:style w:type="paragraph" w:customStyle="1" w:styleId="thumbnail">
    <w:name w:val="thumbnail"/>
    <w:basedOn w:val="a"/>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a"/>
    <w:pPr>
      <w:spacing w:after="300"/>
    </w:pPr>
  </w:style>
  <w:style w:type="paragraph" w:customStyle="1" w:styleId="alertp">
    <w:name w:val="alert&gt;p"/>
    <w:basedOn w:val="a"/>
  </w:style>
  <w:style w:type="paragraph" w:customStyle="1" w:styleId="alertul">
    <w:name w:val="alert&gt;ul"/>
    <w:basedOn w:val="a"/>
  </w:style>
  <w:style w:type="paragraph" w:customStyle="1" w:styleId="alert-dismissable">
    <w:name w:val="alert-dismissable"/>
    <w:basedOn w:val="a"/>
    <w:pPr>
      <w:spacing w:after="150"/>
    </w:pPr>
  </w:style>
  <w:style w:type="paragraph" w:customStyle="1" w:styleId="alert-dismissible">
    <w:name w:val="alert-dismissible"/>
    <w:basedOn w:val="a"/>
    <w:pPr>
      <w:spacing w:after="150"/>
    </w:pPr>
  </w:style>
  <w:style w:type="paragraph" w:customStyle="1" w:styleId="alert-success">
    <w:name w:val="alert-success"/>
    <w:basedOn w:val="a"/>
    <w:pPr>
      <w:shd w:val="clear" w:color="auto" w:fill="DFF0D8"/>
      <w:spacing w:after="150"/>
    </w:pPr>
    <w:rPr>
      <w:color w:val="3C763D"/>
    </w:rPr>
  </w:style>
  <w:style w:type="paragraph" w:customStyle="1" w:styleId="alert-info">
    <w:name w:val="alert-info"/>
    <w:basedOn w:val="a"/>
    <w:pPr>
      <w:shd w:val="clear" w:color="auto" w:fill="D9EDF7"/>
      <w:spacing w:after="150"/>
    </w:pPr>
    <w:rPr>
      <w:color w:val="31708F"/>
    </w:rPr>
  </w:style>
  <w:style w:type="paragraph" w:customStyle="1" w:styleId="alert-warning">
    <w:name w:val="alert-warning"/>
    <w:basedOn w:val="a"/>
    <w:pPr>
      <w:shd w:val="clear" w:color="auto" w:fill="FCF8E3"/>
      <w:spacing w:after="150"/>
    </w:pPr>
    <w:rPr>
      <w:color w:val="8A6D3B"/>
    </w:rPr>
  </w:style>
  <w:style w:type="paragraph" w:customStyle="1" w:styleId="alert-danger">
    <w:name w:val="alert-danger"/>
    <w:basedOn w:val="a"/>
    <w:pPr>
      <w:shd w:val="clear" w:color="auto" w:fill="F2DEDE"/>
      <w:spacing w:after="150"/>
    </w:pPr>
    <w:rPr>
      <w:color w:val="A94442"/>
    </w:rPr>
  </w:style>
  <w:style w:type="paragraph" w:customStyle="1" w:styleId="progress">
    <w:name w:val="progress"/>
    <w:basedOn w:val="a"/>
    <w:pPr>
      <w:shd w:val="clear" w:color="auto" w:fill="F5F5F5"/>
      <w:spacing w:after="300"/>
    </w:pPr>
  </w:style>
  <w:style w:type="paragraph" w:customStyle="1" w:styleId="progress-bar">
    <w:name w:val="progress-bar"/>
    <w:basedOn w:val="a"/>
    <w:pPr>
      <w:shd w:val="clear" w:color="auto" w:fill="337AB7"/>
      <w:spacing w:after="150" w:line="300" w:lineRule="atLeast"/>
      <w:jc w:val="center"/>
    </w:pPr>
    <w:rPr>
      <w:color w:val="FFFFFF"/>
      <w:sz w:val="18"/>
      <w:szCs w:val="18"/>
    </w:rPr>
  </w:style>
  <w:style w:type="paragraph" w:customStyle="1" w:styleId="progress-bar-success">
    <w:name w:val="progress-bar-success"/>
    <w:basedOn w:val="a"/>
    <w:pPr>
      <w:shd w:val="clear" w:color="auto" w:fill="5CB85C"/>
      <w:spacing w:after="150"/>
    </w:pPr>
  </w:style>
  <w:style w:type="paragraph" w:customStyle="1" w:styleId="progress-bar-info">
    <w:name w:val="progress-bar-info"/>
    <w:basedOn w:val="a"/>
    <w:pPr>
      <w:shd w:val="clear" w:color="auto" w:fill="5BC0DE"/>
      <w:spacing w:after="150"/>
    </w:pPr>
  </w:style>
  <w:style w:type="paragraph" w:customStyle="1" w:styleId="progress-bar-warning">
    <w:name w:val="progress-bar-warning"/>
    <w:basedOn w:val="a"/>
    <w:pPr>
      <w:shd w:val="clear" w:color="auto" w:fill="F0AD4E"/>
      <w:spacing w:after="150"/>
    </w:pPr>
  </w:style>
  <w:style w:type="paragraph" w:customStyle="1" w:styleId="progress-bar-danger">
    <w:name w:val="progress-bar-danger"/>
    <w:basedOn w:val="a"/>
    <w:pPr>
      <w:shd w:val="clear" w:color="auto" w:fill="D9534F"/>
      <w:spacing w:after="150"/>
    </w:pPr>
  </w:style>
  <w:style w:type="paragraph" w:customStyle="1" w:styleId="media">
    <w:name w:val="media"/>
    <w:basedOn w:val="a"/>
    <w:pPr>
      <w:spacing w:before="225" w:after="150"/>
    </w:pPr>
  </w:style>
  <w:style w:type="paragraph" w:customStyle="1" w:styleId="media-body">
    <w:name w:val="media-body"/>
    <w:basedOn w:val="a"/>
    <w:pPr>
      <w:spacing w:after="150"/>
      <w:textAlignment w:val="top"/>
    </w:pPr>
  </w:style>
  <w:style w:type="paragraph" w:customStyle="1" w:styleId="media-object">
    <w:name w:val="media-object"/>
    <w:basedOn w:val="a"/>
    <w:pPr>
      <w:spacing w:after="150"/>
    </w:pPr>
  </w:style>
  <w:style w:type="paragraph" w:customStyle="1" w:styleId="media-left">
    <w:name w:val="media-left"/>
    <w:basedOn w:val="a"/>
    <w:pPr>
      <w:spacing w:after="150"/>
      <w:textAlignment w:val="top"/>
    </w:pPr>
  </w:style>
  <w:style w:type="paragraph" w:customStyle="1" w:styleId="media-right">
    <w:name w:val="media-right"/>
    <w:basedOn w:val="a"/>
    <w:pPr>
      <w:spacing w:after="150"/>
      <w:textAlignment w:val="top"/>
    </w:pPr>
  </w:style>
  <w:style w:type="paragraph" w:customStyle="1" w:styleId="media-middle">
    <w:name w:val="media-middle"/>
    <w:basedOn w:val="a"/>
    <w:pPr>
      <w:spacing w:after="150"/>
      <w:textAlignment w:val="center"/>
    </w:pPr>
  </w:style>
  <w:style w:type="paragraph" w:customStyle="1" w:styleId="media-bottom">
    <w:name w:val="media-bottom"/>
    <w:basedOn w:val="a"/>
    <w:pPr>
      <w:spacing w:after="150"/>
      <w:textAlignment w:val="bottom"/>
    </w:pPr>
  </w:style>
  <w:style w:type="paragraph" w:customStyle="1" w:styleId="media-heading">
    <w:name w:val="media-heading"/>
    <w:basedOn w:val="a"/>
    <w:pPr>
      <w:spacing w:after="75"/>
    </w:pPr>
  </w:style>
  <w:style w:type="paragraph" w:customStyle="1" w:styleId="media-list">
    <w:name w:val="media-list"/>
    <w:basedOn w:val="a"/>
    <w:pPr>
      <w:spacing w:after="150"/>
    </w:pPr>
  </w:style>
  <w:style w:type="paragraph" w:customStyle="1" w:styleId="list-group">
    <w:name w:val="list-group"/>
    <w:basedOn w:val="a"/>
    <w:pPr>
      <w:spacing w:after="300"/>
    </w:pPr>
  </w:style>
  <w:style w:type="paragraph" w:customStyle="1" w:styleId="list-group-item">
    <w:name w:val="list-group-item"/>
    <w:basedOn w:val="a"/>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a"/>
    <w:pPr>
      <w:shd w:val="clear" w:color="auto" w:fill="DFF0D8"/>
      <w:spacing w:after="150"/>
    </w:pPr>
    <w:rPr>
      <w:color w:val="3C763D"/>
    </w:rPr>
  </w:style>
  <w:style w:type="paragraph" w:customStyle="1" w:styleId="list-group-item-info">
    <w:name w:val="list-group-item-info"/>
    <w:basedOn w:val="a"/>
    <w:pPr>
      <w:shd w:val="clear" w:color="auto" w:fill="D9EDF7"/>
      <w:spacing w:after="150"/>
    </w:pPr>
    <w:rPr>
      <w:color w:val="31708F"/>
    </w:rPr>
  </w:style>
  <w:style w:type="paragraph" w:customStyle="1" w:styleId="list-group-item-warning">
    <w:name w:val="list-group-item-warning"/>
    <w:basedOn w:val="a"/>
    <w:pPr>
      <w:shd w:val="clear" w:color="auto" w:fill="FCF8E3"/>
      <w:spacing w:after="150"/>
    </w:pPr>
    <w:rPr>
      <w:color w:val="8A6D3B"/>
    </w:rPr>
  </w:style>
  <w:style w:type="paragraph" w:customStyle="1" w:styleId="list-group-item-danger">
    <w:name w:val="list-group-item-danger"/>
    <w:basedOn w:val="a"/>
    <w:pPr>
      <w:shd w:val="clear" w:color="auto" w:fill="F2DEDE"/>
      <w:spacing w:after="150"/>
    </w:pPr>
    <w:rPr>
      <w:color w:val="A94442"/>
    </w:rPr>
  </w:style>
  <w:style w:type="paragraph" w:customStyle="1" w:styleId="list-group-item-heading">
    <w:name w:val="list-group-item-heading"/>
    <w:basedOn w:val="a"/>
    <w:pPr>
      <w:spacing w:after="75"/>
    </w:pPr>
  </w:style>
  <w:style w:type="paragraph" w:customStyle="1" w:styleId="list-group-item-text">
    <w:name w:val="list-group-item-text"/>
    <w:basedOn w:val="a"/>
  </w:style>
  <w:style w:type="paragraph" w:customStyle="1" w:styleId="panel">
    <w:name w:val="panel"/>
    <w:basedOn w:val="a"/>
    <w:pPr>
      <w:shd w:val="clear" w:color="auto" w:fill="FFFFFF"/>
      <w:spacing w:after="300"/>
    </w:pPr>
  </w:style>
  <w:style w:type="paragraph" w:customStyle="1" w:styleId="panel-body">
    <w:name w:val="panel-body"/>
    <w:basedOn w:val="a"/>
    <w:pPr>
      <w:spacing w:after="150"/>
    </w:pPr>
  </w:style>
  <w:style w:type="paragraph" w:customStyle="1" w:styleId="panel-heading">
    <w:name w:val="panel-heading"/>
    <w:basedOn w:val="a"/>
    <w:pPr>
      <w:spacing w:after="150"/>
    </w:pPr>
  </w:style>
  <w:style w:type="paragraph" w:customStyle="1" w:styleId="panel-title">
    <w:name w:val="panel-title"/>
    <w:basedOn w:val="a"/>
  </w:style>
  <w:style w:type="paragraph" w:customStyle="1" w:styleId="panel-footer">
    <w:name w:val="panel-footer"/>
    <w:basedOn w:val="a"/>
    <w:pPr>
      <w:pBdr>
        <w:top w:val="single" w:sz="6" w:space="8" w:color="DDDDDD"/>
      </w:pBdr>
      <w:shd w:val="clear" w:color="auto" w:fill="F5F5F5"/>
      <w:spacing w:after="150"/>
    </w:pPr>
  </w:style>
  <w:style w:type="paragraph" w:customStyle="1" w:styleId="panel-group">
    <w:name w:val="panel-group"/>
    <w:basedOn w:val="a"/>
    <w:pPr>
      <w:spacing w:after="300"/>
    </w:pPr>
  </w:style>
  <w:style w:type="paragraph" w:customStyle="1" w:styleId="panel-default">
    <w:name w:val="panel-default"/>
    <w:basedOn w:val="a"/>
    <w:pPr>
      <w:spacing w:after="150"/>
    </w:pPr>
  </w:style>
  <w:style w:type="paragraph" w:customStyle="1" w:styleId="panel-primary">
    <w:name w:val="panel-primary"/>
    <w:basedOn w:val="a"/>
    <w:pPr>
      <w:spacing w:after="150"/>
    </w:pPr>
  </w:style>
  <w:style w:type="paragraph" w:customStyle="1" w:styleId="panel-success">
    <w:name w:val="panel-success"/>
    <w:basedOn w:val="a"/>
    <w:pPr>
      <w:spacing w:after="150"/>
    </w:pPr>
  </w:style>
  <w:style w:type="paragraph" w:customStyle="1" w:styleId="panel-info">
    <w:name w:val="panel-info"/>
    <w:basedOn w:val="a"/>
    <w:pPr>
      <w:spacing w:after="150"/>
    </w:pPr>
  </w:style>
  <w:style w:type="paragraph" w:customStyle="1" w:styleId="panel-warning">
    <w:name w:val="panel-warning"/>
    <w:basedOn w:val="a"/>
    <w:pPr>
      <w:spacing w:after="150"/>
    </w:pPr>
  </w:style>
  <w:style w:type="paragraph" w:customStyle="1" w:styleId="panel-danger">
    <w:name w:val="panel-danger"/>
    <w:basedOn w:val="a"/>
    <w:pPr>
      <w:spacing w:after="150"/>
    </w:pPr>
  </w:style>
  <w:style w:type="paragraph" w:customStyle="1" w:styleId="embed-responsive">
    <w:name w:val="embed-responsive"/>
    <w:basedOn w:val="a"/>
    <w:pPr>
      <w:spacing w:after="150"/>
    </w:pPr>
  </w:style>
  <w:style w:type="paragraph" w:customStyle="1" w:styleId="embed-responsive-16by9">
    <w:name w:val="embed-responsive-16by9"/>
    <w:basedOn w:val="a"/>
    <w:pPr>
      <w:spacing w:after="150"/>
    </w:pPr>
  </w:style>
  <w:style w:type="paragraph" w:customStyle="1" w:styleId="embed-responsive-4by3">
    <w:name w:val="embed-responsive-4by3"/>
    <w:basedOn w:val="a"/>
    <w:pPr>
      <w:spacing w:after="150"/>
    </w:pPr>
  </w:style>
  <w:style w:type="paragraph" w:customStyle="1" w:styleId="well">
    <w:name w:val="well"/>
    <w:basedOn w:val="a"/>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a"/>
    <w:pPr>
      <w:spacing w:after="150"/>
    </w:pPr>
  </w:style>
  <w:style w:type="paragraph" w:customStyle="1" w:styleId="well-sm">
    <w:name w:val="well-sm"/>
    <w:basedOn w:val="a"/>
    <w:pPr>
      <w:spacing w:after="150"/>
    </w:pPr>
  </w:style>
  <w:style w:type="paragraph" w:customStyle="1" w:styleId="close">
    <w:name w:val="close"/>
    <w:basedOn w:val="a"/>
    <w:pPr>
      <w:spacing w:after="150"/>
    </w:pPr>
    <w:rPr>
      <w:b/>
      <w:bCs/>
      <w:color w:val="000000"/>
      <w:sz w:val="32"/>
      <w:szCs w:val="32"/>
    </w:rPr>
  </w:style>
  <w:style w:type="paragraph" w:customStyle="1" w:styleId="modal">
    <w:name w:val="modal"/>
    <w:basedOn w:val="a"/>
    <w:pPr>
      <w:spacing w:after="150"/>
    </w:pPr>
    <w:rPr>
      <w:vanish/>
    </w:rPr>
  </w:style>
  <w:style w:type="paragraph" w:customStyle="1" w:styleId="modal-dialog">
    <w:name w:val="modal-dialog"/>
    <w:basedOn w:val="a"/>
    <w:pPr>
      <w:spacing w:before="150" w:after="150"/>
      <w:ind w:left="150" w:right="150"/>
    </w:pPr>
  </w:style>
  <w:style w:type="paragraph" w:customStyle="1" w:styleId="modal-content">
    <w:name w:val="modal-content"/>
    <w:basedOn w:val="a"/>
    <w:pPr>
      <w:pBdr>
        <w:top w:val="single" w:sz="6" w:space="0" w:color="999999"/>
        <w:left w:val="single" w:sz="6" w:space="0" w:color="999999"/>
        <w:bottom w:val="single" w:sz="6" w:space="0" w:color="999999"/>
        <w:right w:val="single" w:sz="6" w:space="0" w:color="999999"/>
      </w:pBdr>
      <w:shd w:val="clear" w:color="auto" w:fill="FFFFFF"/>
      <w:spacing w:after="150"/>
    </w:pPr>
  </w:style>
  <w:style w:type="paragraph" w:customStyle="1" w:styleId="modal-backdrop">
    <w:name w:val="modal-backdrop"/>
    <w:basedOn w:val="a"/>
    <w:pPr>
      <w:shd w:val="clear" w:color="auto" w:fill="000000"/>
      <w:spacing w:after="150"/>
    </w:pPr>
  </w:style>
  <w:style w:type="paragraph" w:customStyle="1" w:styleId="modal-header">
    <w:name w:val="modal-header"/>
    <w:basedOn w:val="a"/>
    <w:pPr>
      <w:pBdr>
        <w:bottom w:val="single" w:sz="6" w:space="11" w:color="E5E5E5"/>
      </w:pBdr>
      <w:spacing w:after="150"/>
    </w:pPr>
  </w:style>
  <w:style w:type="paragraph" w:customStyle="1" w:styleId="modal-title">
    <w:name w:val="modal-title"/>
    <w:basedOn w:val="a"/>
  </w:style>
  <w:style w:type="paragraph" w:customStyle="1" w:styleId="modal-body">
    <w:name w:val="modal-body"/>
    <w:basedOn w:val="a"/>
    <w:pPr>
      <w:spacing w:after="150"/>
    </w:pPr>
  </w:style>
  <w:style w:type="paragraph" w:customStyle="1" w:styleId="modal-footer">
    <w:name w:val="modal-footer"/>
    <w:basedOn w:val="a"/>
    <w:pPr>
      <w:pBdr>
        <w:top w:val="single" w:sz="6" w:space="11" w:color="E5E5E5"/>
      </w:pBdr>
      <w:spacing w:after="150"/>
      <w:jc w:val="right"/>
    </w:pPr>
  </w:style>
  <w:style w:type="paragraph" w:customStyle="1" w:styleId="modal-scrollbar-measure">
    <w:name w:val="modal-scrollbar-measure"/>
    <w:basedOn w:val="a"/>
    <w:pPr>
      <w:spacing w:after="150"/>
    </w:pPr>
  </w:style>
  <w:style w:type="paragraph" w:customStyle="1" w:styleId="tooltip">
    <w:name w:val="tooltip"/>
    <w:basedOn w:val="a"/>
    <w:pPr>
      <w:spacing w:after="150"/>
    </w:pPr>
    <w:rPr>
      <w:rFonts w:ascii="Helvetica" w:hAnsi="Helvetica"/>
      <w:sz w:val="18"/>
      <w:szCs w:val="18"/>
    </w:rPr>
  </w:style>
  <w:style w:type="paragraph" w:customStyle="1" w:styleId="tooltip-inner">
    <w:name w:val="tooltip-inner"/>
    <w:basedOn w:val="a"/>
    <w:pPr>
      <w:shd w:val="clear" w:color="auto" w:fill="000000"/>
      <w:spacing w:after="150"/>
      <w:jc w:val="center"/>
    </w:pPr>
    <w:rPr>
      <w:color w:val="FFFFFF"/>
    </w:rPr>
  </w:style>
  <w:style w:type="paragraph" w:customStyle="1" w:styleId="tooltip-arrow">
    <w:name w:val="tooltip-arrow"/>
    <w:basedOn w:val="a"/>
    <w:pPr>
      <w:pBdr>
        <w:top w:val="single" w:sz="24" w:space="0" w:color="auto"/>
        <w:left w:val="single" w:sz="24" w:space="0" w:color="auto"/>
        <w:bottom w:val="single" w:sz="24" w:space="0" w:color="auto"/>
        <w:right w:val="single" w:sz="24" w:space="0" w:color="auto"/>
      </w:pBdr>
      <w:spacing w:after="150"/>
    </w:pPr>
  </w:style>
  <w:style w:type="paragraph" w:customStyle="1" w:styleId="popover">
    <w:name w:val="popover"/>
    <w:basedOn w:val="a"/>
    <w:pPr>
      <w:pBdr>
        <w:top w:val="single" w:sz="6" w:space="1" w:color="CCCCCC"/>
        <w:left w:val="single" w:sz="6" w:space="1" w:color="CCCCCC"/>
        <w:bottom w:val="single" w:sz="6" w:space="1" w:color="CCCCCC"/>
        <w:right w:val="single" w:sz="6" w:space="1" w:color="CCCCCC"/>
      </w:pBdr>
      <w:shd w:val="clear" w:color="auto" w:fill="FFFFFF"/>
      <w:spacing w:after="150"/>
    </w:pPr>
    <w:rPr>
      <w:rFonts w:ascii="Helvetica" w:hAnsi="Helvetica"/>
      <w:vanish/>
      <w:sz w:val="21"/>
      <w:szCs w:val="21"/>
    </w:rPr>
  </w:style>
  <w:style w:type="paragraph" w:customStyle="1" w:styleId="popover-title">
    <w:name w:val="popover-title"/>
    <w:basedOn w:val="a"/>
    <w:pPr>
      <w:pBdr>
        <w:bottom w:val="single" w:sz="6" w:space="6" w:color="EBEBEB"/>
      </w:pBdr>
      <w:shd w:val="clear" w:color="auto" w:fill="F7F7F7"/>
    </w:pPr>
    <w:rPr>
      <w:sz w:val="21"/>
      <w:szCs w:val="21"/>
    </w:rPr>
  </w:style>
  <w:style w:type="paragraph" w:customStyle="1" w:styleId="popover-content">
    <w:name w:val="popover-content"/>
    <w:basedOn w:val="a"/>
    <w:pPr>
      <w:spacing w:after="150"/>
    </w:pPr>
  </w:style>
  <w:style w:type="paragraph" w:customStyle="1" w:styleId="carousel-inner">
    <w:name w:val="carousel-inner"/>
    <w:basedOn w:val="a"/>
    <w:pPr>
      <w:spacing w:after="150"/>
    </w:pPr>
  </w:style>
  <w:style w:type="paragraph" w:customStyle="1" w:styleId="carousel-control">
    <w:name w:val="carousel-control"/>
    <w:basedOn w:val="a"/>
    <w:pPr>
      <w:spacing w:after="150"/>
      <w:jc w:val="center"/>
    </w:pPr>
    <w:rPr>
      <w:color w:val="FFFFFF"/>
      <w:sz w:val="30"/>
      <w:szCs w:val="30"/>
    </w:rPr>
  </w:style>
  <w:style w:type="paragraph" w:customStyle="1" w:styleId="carousel-indicators">
    <w:name w:val="carousel-indicators"/>
    <w:basedOn w:val="a"/>
    <w:pPr>
      <w:spacing w:after="150"/>
      <w:ind w:left="-3571"/>
      <w:jc w:val="center"/>
    </w:pPr>
  </w:style>
  <w:style w:type="paragraph" w:customStyle="1" w:styleId="carousel-caption">
    <w:name w:val="carousel-caption"/>
    <w:basedOn w:val="a"/>
    <w:pPr>
      <w:spacing w:after="150"/>
      <w:jc w:val="center"/>
    </w:pPr>
    <w:rPr>
      <w:color w:val="FFFFFF"/>
    </w:rPr>
  </w:style>
  <w:style w:type="paragraph" w:customStyle="1" w:styleId="center-block">
    <w:name w:val="center-block"/>
    <w:basedOn w:val="a"/>
    <w:pPr>
      <w:spacing w:after="150"/>
    </w:pPr>
  </w:style>
  <w:style w:type="paragraph" w:customStyle="1" w:styleId="text-hide">
    <w:name w:val="text-hide"/>
    <w:basedOn w:val="a"/>
    <w:pPr>
      <w:spacing w:after="150"/>
    </w:pPr>
  </w:style>
  <w:style w:type="paragraph" w:customStyle="1" w:styleId="table-hovertbodytr">
    <w:name w:val="table-hover&gt;tbody&gt;tr"/>
    <w:basedOn w:val="a"/>
    <w:pPr>
      <w:spacing w:after="150"/>
    </w:pPr>
  </w:style>
  <w:style w:type="paragraph" w:customStyle="1" w:styleId="divider">
    <w:name w:val="divider"/>
    <w:basedOn w:val="a"/>
    <w:pPr>
      <w:spacing w:after="150"/>
    </w:pPr>
  </w:style>
  <w:style w:type="paragraph" w:customStyle="1" w:styleId="nav-divider">
    <w:name w:val="nav-divider"/>
    <w:basedOn w:val="a"/>
    <w:pPr>
      <w:spacing w:after="150"/>
    </w:pPr>
  </w:style>
  <w:style w:type="paragraph" w:customStyle="1" w:styleId="icon-bar">
    <w:name w:val="icon-bar"/>
    <w:basedOn w:val="a"/>
    <w:pPr>
      <w:spacing w:after="150"/>
    </w:pPr>
  </w:style>
  <w:style w:type="paragraph" w:customStyle="1" w:styleId="navbar-link">
    <w:name w:val="navbar-link"/>
    <w:basedOn w:val="a"/>
    <w:pPr>
      <w:spacing w:after="150"/>
    </w:pPr>
  </w:style>
  <w:style w:type="paragraph" w:customStyle="1" w:styleId="Caption1">
    <w:name w:val="Caption1"/>
    <w:basedOn w:val="a"/>
    <w:pPr>
      <w:spacing w:after="150"/>
    </w:pPr>
  </w:style>
  <w:style w:type="paragraph" w:customStyle="1" w:styleId="alert-link">
    <w:name w:val="alert-link"/>
    <w:basedOn w:val="a"/>
    <w:pPr>
      <w:spacing w:after="150"/>
    </w:pPr>
  </w:style>
  <w:style w:type="paragraph" w:customStyle="1" w:styleId="glyphicon-chevron-left">
    <w:name w:val="glyphicon-chevron-left"/>
    <w:basedOn w:val="a"/>
    <w:pPr>
      <w:spacing w:after="150"/>
    </w:pPr>
  </w:style>
  <w:style w:type="paragraph" w:customStyle="1" w:styleId="icon-prev">
    <w:name w:val="icon-prev"/>
    <w:basedOn w:val="a"/>
    <w:pPr>
      <w:spacing w:after="150"/>
    </w:pPr>
  </w:style>
  <w:style w:type="paragraph" w:customStyle="1" w:styleId="glyphicon-chevron-right">
    <w:name w:val="glyphicon-chevron-right"/>
    <w:basedOn w:val="a"/>
    <w:pPr>
      <w:spacing w:after="150"/>
    </w:pPr>
  </w:style>
  <w:style w:type="paragraph" w:customStyle="1" w:styleId="icon-next">
    <w:name w:val="icon-next"/>
    <w:basedOn w:val="a"/>
    <w:pPr>
      <w:spacing w:after="150"/>
    </w:pPr>
  </w:style>
  <w:style w:type="paragraph" w:customStyle="1" w:styleId="active">
    <w:name w:val="active"/>
    <w:basedOn w:val="a"/>
    <w:pPr>
      <w:spacing w:after="150"/>
    </w:pPr>
  </w:style>
  <w:style w:type="paragraph" w:customStyle="1" w:styleId="small1">
    <w:name w:val="small1"/>
    <w:basedOn w:val="a"/>
    <w:pPr>
      <w:spacing w:after="150"/>
    </w:pPr>
    <w:rPr>
      <w:color w:val="777777"/>
      <w:sz w:val="16"/>
      <w:szCs w:val="16"/>
    </w:rPr>
  </w:style>
  <w:style w:type="paragraph" w:customStyle="1" w:styleId="small2">
    <w:name w:val="small2"/>
    <w:basedOn w:val="a"/>
    <w:pPr>
      <w:spacing w:after="150"/>
    </w:pPr>
    <w:rPr>
      <w:color w:val="777777"/>
      <w:sz w:val="16"/>
      <w:szCs w:val="16"/>
    </w:rPr>
  </w:style>
  <w:style w:type="paragraph" w:customStyle="1" w:styleId="small3">
    <w:name w:val="small3"/>
    <w:basedOn w:val="a"/>
    <w:pPr>
      <w:spacing w:after="150"/>
    </w:pPr>
    <w:rPr>
      <w:color w:val="777777"/>
      <w:sz w:val="16"/>
      <w:szCs w:val="16"/>
    </w:rPr>
  </w:style>
  <w:style w:type="paragraph" w:customStyle="1" w:styleId="small4">
    <w:name w:val="small4"/>
    <w:basedOn w:val="a"/>
    <w:pPr>
      <w:spacing w:after="150"/>
    </w:pPr>
    <w:rPr>
      <w:color w:val="777777"/>
      <w:sz w:val="18"/>
      <w:szCs w:val="18"/>
    </w:rPr>
  </w:style>
  <w:style w:type="paragraph" w:customStyle="1" w:styleId="small5">
    <w:name w:val="small5"/>
    <w:basedOn w:val="a"/>
    <w:pPr>
      <w:spacing w:after="150"/>
    </w:pPr>
    <w:rPr>
      <w:color w:val="777777"/>
      <w:sz w:val="18"/>
      <w:szCs w:val="18"/>
    </w:rPr>
  </w:style>
  <w:style w:type="paragraph" w:customStyle="1" w:styleId="small6">
    <w:name w:val="small6"/>
    <w:basedOn w:val="a"/>
    <w:pPr>
      <w:spacing w:after="150"/>
    </w:pPr>
    <w:rPr>
      <w:color w:val="777777"/>
      <w:sz w:val="18"/>
      <w:szCs w:val="18"/>
    </w:rPr>
  </w:style>
  <w:style w:type="paragraph" w:customStyle="1" w:styleId="small7">
    <w:name w:val="small7"/>
    <w:basedOn w:val="a"/>
    <w:pPr>
      <w:spacing w:after="150"/>
    </w:pPr>
    <w:rPr>
      <w:color w:val="777777"/>
      <w:sz w:val="16"/>
      <w:szCs w:val="16"/>
    </w:rPr>
  </w:style>
  <w:style w:type="paragraph" w:customStyle="1" w:styleId="small8">
    <w:name w:val="small8"/>
    <w:basedOn w:val="a"/>
    <w:pPr>
      <w:spacing w:after="150"/>
    </w:pPr>
    <w:rPr>
      <w:color w:val="777777"/>
      <w:sz w:val="16"/>
      <w:szCs w:val="16"/>
    </w:rPr>
  </w:style>
  <w:style w:type="paragraph" w:customStyle="1" w:styleId="small9">
    <w:name w:val="small9"/>
    <w:basedOn w:val="a"/>
    <w:pPr>
      <w:spacing w:after="150"/>
    </w:pPr>
    <w:rPr>
      <w:color w:val="777777"/>
      <w:sz w:val="16"/>
      <w:szCs w:val="16"/>
    </w:rPr>
  </w:style>
  <w:style w:type="paragraph" w:customStyle="1" w:styleId="small10">
    <w:name w:val="small10"/>
    <w:basedOn w:val="a"/>
    <w:pPr>
      <w:spacing w:after="150"/>
    </w:pPr>
    <w:rPr>
      <w:color w:val="777777"/>
      <w:sz w:val="18"/>
      <w:szCs w:val="18"/>
    </w:rPr>
  </w:style>
  <w:style w:type="paragraph" w:customStyle="1" w:styleId="small11">
    <w:name w:val="small11"/>
    <w:basedOn w:val="a"/>
    <w:pPr>
      <w:spacing w:after="150"/>
    </w:pPr>
    <w:rPr>
      <w:color w:val="777777"/>
      <w:sz w:val="18"/>
      <w:szCs w:val="18"/>
    </w:rPr>
  </w:style>
  <w:style w:type="paragraph" w:customStyle="1" w:styleId="small12">
    <w:name w:val="small12"/>
    <w:basedOn w:val="a"/>
    <w:pPr>
      <w:spacing w:after="150"/>
    </w:pPr>
    <w:rPr>
      <w:color w:val="777777"/>
      <w:sz w:val="18"/>
      <w:szCs w:val="18"/>
    </w:rPr>
  </w:style>
  <w:style w:type="paragraph" w:customStyle="1" w:styleId="table1">
    <w:name w:val="table1"/>
    <w:basedOn w:val="a"/>
    <w:pPr>
      <w:shd w:val="clear" w:color="auto" w:fill="FFFFFF"/>
      <w:spacing w:after="300"/>
    </w:pPr>
  </w:style>
  <w:style w:type="paragraph" w:customStyle="1" w:styleId="form-control1">
    <w:name w:val="form-control1"/>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18"/>
      <w:szCs w:val="18"/>
    </w:rPr>
  </w:style>
  <w:style w:type="paragraph" w:customStyle="1" w:styleId="form-control2">
    <w:name w:val="form-control2"/>
    <w:basedOn w:val="a"/>
    <w:pPr>
      <w:pBdr>
        <w:top w:val="single" w:sz="6" w:space="5" w:color="CCCCCC"/>
        <w:left w:val="single" w:sz="6" w:space="9" w:color="CCCCCC"/>
        <w:bottom w:val="single" w:sz="6" w:space="5" w:color="CCCCCC"/>
        <w:right w:val="single" w:sz="6" w:space="9" w:color="CCCCCC"/>
      </w:pBdr>
      <w:shd w:val="clear" w:color="auto" w:fill="FFFFFF"/>
      <w:spacing w:after="150" w:line="450" w:lineRule="atLeast"/>
    </w:pPr>
    <w:rPr>
      <w:color w:val="555555"/>
      <w:sz w:val="18"/>
      <w:szCs w:val="18"/>
    </w:rPr>
  </w:style>
  <w:style w:type="paragraph" w:customStyle="1" w:styleId="form-control-static1">
    <w:name w:val="form-control-static1"/>
    <w:basedOn w:val="a"/>
    <w:rPr>
      <w:sz w:val="18"/>
      <w:szCs w:val="18"/>
    </w:rPr>
  </w:style>
  <w:style w:type="paragraph" w:customStyle="1" w:styleId="form-control3">
    <w:name w:val="form-control3"/>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7"/>
      <w:szCs w:val="27"/>
    </w:rPr>
  </w:style>
  <w:style w:type="paragraph" w:customStyle="1" w:styleId="form-control4">
    <w:name w:val="form-control4"/>
    <w:basedOn w:val="a"/>
    <w:pPr>
      <w:pBdr>
        <w:top w:val="single" w:sz="6" w:space="5" w:color="CCCCCC"/>
        <w:left w:val="single" w:sz="6" w:space="9" w:color="CCCCCC"/>
        <w:bottom w:val="single" w:sz="6" w:space="5" w:color="CCCCCC"/>
        <w:right w:val="single" w:sz="6" w:space="9" w:color="CCCCCC"/>
      </w:pBdr>
      <w:shd w:val="clear" w:color="auto" w:fill="FFFFFF"/>
      <w:spacing w:after="150" w:line="690" w:lineRule="atLeast"/>
    </w:pPr>
    <w:rPr>
      <w:color w:val="555555"/>
      <w:sz w:val="27"/>
      <w:szCs w:val="27"/>
    </w:rPr>
  </w:style>
  <w:style w:type="paragraph" w:customStyle="1" w:styleId="form-control-static2">
    <w:name w:val="form-control-static2"/>
    <w:basedOn w:val="a"/>
    <w:rPr>
      <w:sz w:val="27"/>
      <w:szCs w:val="27"/>
    </w:rPr>
  </w:style>
  <w:style w:type="paragraph" w:customStyle="1" w:styleId="form-control5">
    <w:name w:val="form-control5"/>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6">
    <w:name w:val="form-control6"/>
    <w:basedOn w:val="a"/>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1">
    <w:name w:val="input-group-addon1"/>
    <w:basedOn w:val="a"/>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1">
    <w:name w:val="form-control-feedback1"/>
    <w:basedOn w:val="a"/>
    <w:pPr>
      <w:spacing w:after="150" w:line="510" w:lineRule="atLeast"/>
      <w:jc w:val="center"/>
    </w:pPr>
    <w:rPr>
      <w:color w:val="3C763D"/>
    </w:rPr>
  </w:style>
  <w:style w:type="paragraph" w:customStyle="1" w:styleId="form-control7">
    <w:name w:val="form-control7"/>
    <w:basedOn w:val="a"/>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2">
    <w:name w:val="input-group-addon2"/>
    <w:basedOn w:val="a"/>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2">
    <w:name w:val="form-control-feedback2"/>
    <w:basedOn w:val="a"/>
    <w:pPr>
      <w:spacing w:after="150" w:line="510" w:lineRule="atLeast"/>
      <w:jc w:val="center"/>
    </w:pPr>
    <w:rPr>
      <w:color w:val="8A6D3B"/>
    </w:rPr>
  </w:style>
  <w:style w:type="paragraph" w:customStyle="1" w:styleId="form-control8">
    <w:name w:val="form-control8"/>
    <w:basedOn w:val="a"/>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3">
    <w:name w:val="input-group-addon3"/>
    <w:basedOn w:val="a"/>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3">
    <w:name w:val="form-control-feedback3"/>
    <w:basedOn w:val="a"/>
    <w:pPr>
      <w:spacing w:after="150" w:line="510" w:lineRule="atLeast"/>
      <w:jc w:val="center"/>
    </w:pPr>
    <w:rPr>
      <w:color w:val="A94442"/>
    </w:rPr>
  </w:style>
  <w:style w:type="paragraph" w:customStyle="1" w:styleId="checkbox1">
    <w:name w:val="checkbox1"/>
    <w:basedOn w:val="a"/>
  </w:style>
  <w:style w:type="paragraph" w:customStyle="1" w:styleId="checkbox-inline1">
    <w:name w:val="checkbox-inline1"/>
    <w:basedOn w:val="a"/>
    <w:pPr>
      <w:textAlignment w:val="center"/>
    </w:pPr>
  </w:style>
  <w:style w:type="paragraph" w:customStyle="1" w:styleId="radio1">
    <w:name w:val="radio1"/>
    <w:basedOn w:val="a"/>
  </w:style>
  <w:style w:type="paragraph" w:customStyle="1" w:styleId="radio-inline1">
    <w:name w:val="radio-inline1"/>
    <w:basedOn w:val="a"/>
    <w:pPr>
      <w:textAlignment w:val="center"/>
    </w:pPr>
  </w:style>
  <w:style w:type="paragraph" w:customStyle="1" w:styleId="form-group1">
    <w:name w:val="form-group1"/>
    <w:basedOn w:val="a"/>
    <w:pPr>
      <w:spacing w:after="225"/>
      <w:ind w:left="-225" w:right="-225"/>
    </w:pPr>
  </w:style>
  <w:style w:type="paragraph" w:customStyle="1" w:styleId="badge1">
    <w:name w:val="badge1"/>
    <w:basedOn w:val="a"/>
    <w:pPr>
      <w:shd w:val="clear" w:color="auto" w:fill="333333"/>
      <w:spacing w:after="150"/>
      <w:jc w:val="center"/>
      <w:textAlignment w:val="baseline"/>
    </w:pPr>
    <w:rPr>
      <w:b/>
      <w:bCs/>
      <w:color w:val="FFFFFF"/>
      <w:sz w:val="18"/>
      <w:szCs w:val="18"/>
    </w:rPr>
  </w:style>
  <w:style w:type="paragraph" w:customStyle="1" w:styleId="badge2">
    <w:name w:val="badge2"/>
    <w:basedOn w:val="a"/>
    <w:pPr>
      <w:shd w:val="clear" w:color="auto" w:fill="FFFFFF"/>
      <w:spacing w:after="150"/>
      <w:jc w:val="center"/>
      <w:textAlignment w:val="baseline"/>
    </w:pPr>
    <w:rPr>
      <w:b/>
      <w:bCs/>
      <w:color w:val="337AB7"/>
      <w:sz w:val="18"/>
      <w:szCs w:val="18"/>
    </w:rPr>
  </w:style>
  <w:style w:type="paragraph" w:customStyle="1" w:styleId="badge3">
    <w:name w:val="badge3"/>
    <w:basedOn w:val="a"/>
    <w:pPr>
      <w:shd w:val="clear" w:color="auto" w:fill="FFFFFF"/>
      <w:spacing w:after="150"/>
      <w:jc w:val="center"/>
      <w:textAlignment w:val="baseline"/>
    </w:pPr>
    <w:rPr>
      <w:b/>
      <w:bCs/>
      <w:color w:val="5CB85C"/>
      <w:sz w:val="18"/>
      <w:szCs w:val="18"/>
    </w:rPr>
  </w:style>
  <w:style w:type="paragraph" w:customStyle="1" w:styleId="badge4">
    <w:name w:val="badge4"/>
    <w:basedOn w:val="a"/>
    <w:pPr>
      <w:shd w:val="clear" w:color="auto" w:fill="FFFFFF"/>
      <w:spacing w:after="150"/>
      <w:jc w:val="center"/>
      <w:textAlignment w:val="baseline"/>
    </w:pPr>
    <w:rPr>
      <w:b/>
      <w:bCs/>
      <w:color w:val="5BC0DE"/>
      <w:sz w:val="18"/>
      <w:szCs w:val="18"/>
    </w:rPr>
  </w:style>
  <w:style w:type="paragraph" w:customStyle="1" w:styleId="badge5">
    <w:name w:val="badge5"/>
    <w:basedOn w:val="a"/>
    <w:pPr>
      <w:shd w:val="clear" w:color="auto" w:fill="FFFFFF"/>
      <w:spacing w:after="150"/>
      <w:jc w:val="center"/>
      <w:textAlignment w:val="baseline"/>
    </w:pPr>
    <w:rPr>
      <w:b/>
      <w:bCs/>
      <w:color w:val="F0AD4E"/>
      <w:sz w:val="18"/>
      <w:szCs w:val="18"/>
    </w:rPr>
  </w:style>
  <w:style w:type="paragraph" w:customStyle="1" w:styleId="badge6">
    <w:name w:val="badge6"/>
    <w:basedOn w:val="a"/>
    <w:pPr>
      <w:shd w:val="clear" w:color="auto" w:fill="FFFFFF"/>
      <w:spacing w:after="150"/>
      <w:jc w:val="center"/>
      <w:textAlignment w:val="baseline"/>
    </w:pPr>
    <w:rPr>
      <w:b/>
      <w:bCs/>
      <w:color w:val="D9534F"/>
      <w:sz w:val="18"/>
      <w:szCs w:val="18"/>
    </w:rPr>
  </w:style>
  <w:style w:type="paragraph" w:customStyle="1" w:styleId="divider1">
    <w:name w:val="divider1"/>
    <w:basedOn w:val="a"/>
    <w:pPr>
      <w:shd w:val="clear" w:color="auto" w:fill="E5E5E5"/>
      <w:spacing w:before="135" w:after="135"/>
    </w:pPr>
  </w:style>
  <w:style w:type="paragraph" w:customStyle="1" w:styleId="caret1">
    <w:name w:val="caret1"/>
    <w:basedOn w:val="a"/>
    <w:pPr>
      <w:pBdr>
        <w:bottom w:val="single" w:sz="24" w:space="0" w:color="auto"/>
      </w:pBdr>
      <w:spacing w:after="150"/>
      <w:ind w:left="30"/>
      <w:textAlignment w:val="center"/>
    </w:pPr>
  </w:style>
  <w:style w:type="paragraph" w:customStyle="1" w:styleId="caret2">
    <w:name w:val="caret2"/>
    <w:basedOn w:val="a"/>
    <w:pPr>
      <w:pBdr>
        <w:bottom w:val="single" w:sz="24" w:space="0" w:color="auto"/>
      </w:pBdr>
      <w:spacing w:after="150"/>
      <w:ind w:left="30"/>
      <w:textAlignment w:val="center"/>
    </w:pPr>
  </w:style>
  <w:style w:type="paragraph" w:customStyle="1" w:styleId="dropdown-menu1">
    <w:name w:val="dropdown-menu1"/>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dropdown-menu2">
    <w:name w:val="dropdown-menu2"/>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caret3">
    <w:name w:val="caret3"/>
    <w:basedOn w:val="a"/>
    <w:pPr>
      <w:pBdr>
        <w:top w:val="dashed" w:sz="24" w:space="0" w:color="auto"/>
      </w:pBdr>
      <w:spacing w:after="150"/>
      <w:textAlignment w:val="center"/>
    </w:pPr>
  </w:style>
  <w:style w:type="paragraph" w:customStyle="1" w:styleId="caret4">
    <w:name w:val="caret4"/>
    <w:basedOn w:val="a"/>
    <w:pPr>
      <w:pBdr>
        <w:top w:val="dashed" w:sz="36" w:space="0" w:color="auto"/>
      </w:pBdr>
      <w:spacing w:after="150"/>
      <w:ind w:left="30"/>
      <w:textAlignment w:val="center"/>
    </w:pPr>
  </w:style>
  <w:style w:type="paragraph" w:customStyle="1" w:styleId="caret5">
    <w:name w:val="caret5"/>
    <w:basedOn w:val="a"/>
    <w:pPr>
      <w:pBdr>
        <w:bottom w:val="single" w:sz="36" w:space="0" w:color="auto"/>
      </w:pBdr>
      <w:spacing w:after="150"/>
      <w:ind w:left="30"/>
      <w:textAlignment w:val="center"/>
    </w:pPr>
  </w:style>
  <w:style w:type="paragraph" w:customStyle="1" w:styleId="form-control9">
    <w:name w:val="form-control9"/>
    <w:basedOn w:val="a"/>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1">
    <w:name w:val="nav-divider1"/>
    <w:basedOn w:val="a"/>
    <w:pPr>
      <w:shd w:val="clear" w:color="auto" w:fill="E5E5E5"/>
      <w:spacing w:before="135" w:after="135"/>
    </w:pPr>
  </w:style>
  <w:style w:type="paragraph" w:customStyle="1" w:styleId="dropdown-menu3">
    <w:name w:val="dropdown-menu3"/>
    <w:basedOn w:val="a"/>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1">
    <w:name w:val="icon-bar1"/>
    <w:basedOn w:val="a"/>
    <w:pPr>
      <w:spacing w:after="150"/>
    </w:pPr>
  </w:style>
  <w:style w:type="paragraph" w:customStyle="1" w:styleId="navbar-brand1">
    <w:name w:val="navbar-brand1"/>
    <w:basedOn w:val="a"/>
    <w:pPr>
      <w:spacing w:after="150" w:line="300" w:lineRule="atLeast"/>
    </w:pPr>
    <w:rPr>
      <w:color w:val="777777"/>
      <w:sz w:val="27"/>
      <w:szCs w:val="27"/>
    </w:rPr>
  </w:style>
  <w:style w:type="paragraph" w:customStyle="1" w:styleId="navbar-text1">
    <w:name w:val="navbar-text1"/>
    <w:basedOn w:val="a"/>
    <w:pPr>
      <w:spacing w:before="225" w:after="225"/>
    </w:pPr>
    <w:rPr>
      <w:color w:val="777777"/>
    </w:rPr>
  </w:style>
  <w:style w:type="paragraph" w:customStyle="1" w:styleId="navbar-navlia1">
    <w:name w:val="navbar-nav&gt;li&gt;a1"/>
    <w:basedOn w:val="a"/>
    <w:pPr>
      <w:spacing w:after="150" w:line="300" w:lineRule="atLeast"/>
    </w:pPr>
    <w:rPr>
      <w:color w:val="777777"/>
    </w:rPr>
  </w:style>
  <w:style w:type="paragraph" w:customStyle="1" w:styleId="navbar-toggle1">
    <w:name w:val="navbar-toggle1"/>
    <w:basedOn w:val="a"/>
    <w:pPr>
      <w:spacing w:before="120" w:after="120"/>
      <w:ind w:right="225"/>
    </w:pPr>
  </w:style>
  <w:style w:type="paragraph" w:customStyle="1" w:styleId="icon-bar2">
    <w:name w:val="icon-bar2"/>
    <w:basedOn w:val="a"/>
    <w:pPr>
      <w:shd w:val="clear" w:color="auto" w:fill="888888"/>
      <w:spacing w:after="150"/>
    </w:pPr>
  </w:style>
  <w:style w:type="paragraph" w:customStyle="1" w:styleId="navbar-collapse1">
    <w:name w:val="navbar-collapse1"/>
    <w:basedOn w:val="a"/>
    <w:pPr>
      <w:spacing w:after="150"/>
    </w:pPr>
  </w:style>
  <w:style w:type="paragraph" w:customStyle="1" w:styleId="navbar-form1">
    <w:name w:val="navbar-form1"/>
    <w:basedOn w:val="a"/>
    <w:pPr>
      <w:spacing w:before="120" w:after="120"/>
      <w:ind w:left="-225" w:right="-225"/>
    </w:pPr>
  </w:style>
  <w:style w:type="paragraph" w:customStyle="1" w:styleId="navbar-link1">
    <w:name w:val="navbar-link1"/>
    <w:basedOn w:val="a"/>
    <w:pPr>
      <w:spacing w:after="150"/>
    </w:pPr>
    <w:rPr>
      <w:color w:val="777777"/>
    </w:rPr>
  </w:style>
  <w:style w:type="paragraph" w:customStyle="1" w:styleId="navbar-link2">
    <w:name w:val="navbar-link2"/>
    <w:basedOn w:val="a"/>
    <w:pPr>
      <w:spacing w:after="150"/>
    </w:pPr>
    <w:rPr>
      <w:color w:val="333333"/>
    </w:rPr>
  </w:style>
  <w:style w:type="paragraph" w:customStyle="1" w:styleId="btn-link1">
    <w:name w:val="btn-link1"/>
    <w:basedOn w:val="a"/>
    <w:pPr>
      <w:spacing w:after="150"/>
    </w:pPr>
    <w:rPr>
      <w:color w:val="777777"/>
    </w:rPr>
  </w:style>
  <w:style w:type="paragraph" w:customStyle="1" w:styleId="navbar-brand2">
    <w:name w:val="navbar-brand2"/>
    <w:basedOn w:val="a"/>
    <w:pPr>
      <w:spacing w:after="150" w:line="300" w:lineRule="atLeast"/>
    </w:pPr>
    <w:rPr>
      <w:color w:val="9D9D9D"/>
      <w:sz w:val="27"/>
      <w:szCs w:val="27"/>
    </w:rPr>
  </w:style>
  <w:style w:type="paragraph" w:customStyle="1" w:styleId="navbar-text2">
    <w:name w:val="navbar-text2"/>
    <w:basedOn w:val="a"/>
    <w:pPr>
      <w:spacing w:before="225" w:after="225"/>
    </w:pPr>
    <w:rPr>
      <w:color w:val="9D9D9D"/>
    </w:rPr>
  </w:style>
  <w:style w:type="paragraph" w:customStyle="1" w:styleId="navbar-navlia2">
    <w:name w:val="navbar-nav&gt;li&gt;a2"/>
    <w:basedOn w:val="a"/>
    <w:pPr>
      <w:spacing w:after="150" w:line="300" w:lineRule="atLeast"/>
    </w:pPr>
    <w:rPr>
      <w:color w:val="9D9D9D"/>
    </w:rPr>
  </w:style>
  <w:style w:type="paragraph" w:customStyle="1" w:styleId="navbar-toggle2">
    <w:name w:val="navbar-toggle2"/>
    <w:basedOn w:val="a"/>
    <w:pPr>
      <w:spacing w:before="120" w:after="120"/>
      <w:ind w:right="225"/>
    </w:pPr>
  </w:style>
  <w:style w:type="paragraph" w:customStyle="1" w:styleId="icon-bar3">
    <w:name w:val="icon-bar3"/>
    <w:basedOn w:val="a"/>
    <w:pPr>
      <w:shd w:val="clear" w:color="auto" w:fill="FFFFFF"/>
      <w:spacing w:after="150"/>
    </w:pPr>
  </w:style>
  <w:style w:type="paragraph" w:customStyle="1" w:styleId="navbar-collapse2">
    <w:name w:val="navbar-collapse2"/>
    <w:basedOn w:val="a"/>
    <w:pPr>
      <w:spacing w:after="150"/>
    </w:pPr>
  </w:style>
  <w:style w:type="paragraph" w:customStyle="1" w:styleId="navbar-form2">
    <w:name w:val="navbar-form2"/>
    <w:basedOn w:val="a"/>
    <w:pPr>
      <w:spacing w:before="120" w:after="120"/>
      <w:ind w:left="-225" w:right="-225"/>
    </w:pPr>
  </w:style>
  <w:style w:type="paragraph" w:customStyle="1" w:styleId="navbar-link3">
    <w:name w:val="navbar-link3"/>
    <w:basedOn w:val="a"/>
    <w:pPr>
      <w:spacing w:after="150"/>
    </w:pPr>
    <w:rPr>
      <w:color w:val="9D9D9D"/>
    </w:rPr>
  </w:style>
  <w:style w:type="paragraph" w:customStyle="1" w:styleId="navbar-link4">
    <w:name w:val="navbar-link4"/>
    <w:basedOn w:val="a"/>
    <w:pPr>
      <w:spacing w:after="150"/>
    </w:pPr>
    <w:rPr>
      <w:color w:val="FFFFFF"/>
    </w:rPr>
  </w:style>
  <w:style w:type="paragraph" w:customStyle="1" w:styleId="btn-link2">
    <w:name w:val="btn-link2"/>
    <w:basedOn w:val="a"/>
    <w:pPr>
      <w:spacing w:after="150"/>
    </w:pPr>
    <w:rPr>
      <w:color w:val="9D9D9D"/>
    </w:rPr>
  </w:style>
  <w:style w:type="paragraph" w:customStyle="1" w:styleId="caption10">
    <w:name w:val="caption1"/>
    <w:basedOn w:val="a"/>
    <w:pPr>
      <w:spacing w:after="150"/>
    </w:pPr>
    <w:rPr>
      <w:color w:val="333333"/>
    </w:rPr>
  </w:style>
  <w:style w:type="paragraph" w:customStyle="1" w:styleId="alert-link1">
    <w:name w:val="alert-link1"/>
    <w:basedOn w:val="a"/>
    <w:pPr>
      <w:spacing w:after="150"/>
    </w:pPr>
    <w:rPr>
      <w:b/>
      <w:bCs/>
    </w:rPr>
  </w:style>
  <w:style w:type="paragraph" w:customStyle="1" w:styleId="alert-link2">
    <w:name w:val="alert-link2"/>
    <w:basedOn w:val="a"/>
    <w:pPr>
      <w:spacing w:after="150"/>
    </w:pPr>
    <w:rPr>
      <w:color w:val="2B542C"/>
    </w:rPr>
  </w:style>
  <w:style w:type="paragraph" w:customStyle="1" w:styleId="alert-link3">
    <w:name w:val="alert-link3"/>
    <w:basedOn w:val="a"/>
    <w:pPr>
      <w:spacing w:after="150"/>
    </w:pPr>
    <w:rPr>
      <w:color w:val="245269"/>
    </w:rPr>
  </w:style>
  <w:style w:type="paragraph" w:customStyle="1" w:styleId="alert-link4">
    <w:name w:val="alert-link4"/>
    <w:basedOn w:val="a"/>
    <w:pPr>
      <w:spacing w:after="150"/>
    </w:pPr>
    <w:rPr>
      <w:color w:val="66512C"/>
    </w:rPr>
  </w:style>
  <w:style w:type="paragraph" w:customStyle="1" w:styleId="alert-link5">
    <w:name w:val="alert-link5"/>
    <w:basedOn w:val="a"/>
    <w:pPr>
      <w:spacing w:after="150"/>
    </w:pPr>
    <w:rPr>
      <w:color w:val="843534"/>
    </w:rPr>
  </w:style>
  <w:style w:type="paragraph" w:customStyle="1" w:styleId="list-group-item-heading1">
    <w:name w:val="list-group-item-heading1"/>
    <w:basedOn w:val="a"/>
    <w:pPr>
      <w:spacing w:after="75"/>
    </w:pPr>
    <w:rPr>
      <w:color w:val="333333"/>
    </w:rPr>
  </w:style>
  <w:style w:type="paragraph" w:customStyle="1" w:styleId="panel1">
    <w:name w:val="panel1"/>
    <w:basedOn w:val="a"/>
    <w:pPr>
      <w:shd w:val="clear" w:color="auto" w:fill="FFFFFF"/>
    </w:pPr>
  </w:style>
  <w:style w:type="paragraph" w:customStyle="1" w:styleId="panel-heading1">
    <w:name w:val="panel-heading1"/>
    <w:basedOn w:val="a"/>
    <w:pPr>
      <w:spacing w:after="150"/>
    </w:pPr>
  </w:style>
  <w:style w:type="paragraph" w:customStyle="1" w:styleId="panel-footer1">
    <w:name w:val="panel-footer1"/>
    <w:basedOn w:val="a"/>
    <w:pPr>
      <w:shd w:val="clear" w:color="auto" w:fill="F5F5F5"/>
      <w:spacing w:after="150"/>
    </w:pPr>
  </w:style>
  <w:style w:type="paragraph" w:customStyle="1" w:styleId="close1">
    <w:name w:val="close1"/>
    <w:basedOn w:val="a"/>
    <w:pPr>
      <w:spacing w:after="150"/>
    </w:pPr>
    <w:rPr>
      <w:b/>
      <w:bCs/>
      <w:color w:val="000000"/>
      <w:sz w:val="32"/>
      <w:szCs w:val="32"/>
    </w:rPr>
  </w:style>
  <w:style w:type="paragraph" w:customStyle="1" w:styleId="glyphicon-chevron-left1">
    <w:name w:val="glyphicon-chevron-left1"/>
    <w:basedOn w:val="a"/>
    <w:pPr>
      <w:spacing w:after="150"/>
      <w:ind w:left="-150"/>
    </w:pPr>
  </w:style>
  <w:style w:type="paragraph" w:customStyle="1" w:styleId="icon-prev1">
    <w:name w:val="icon-prev1"/>
    <w:basedOn w:val="a"/>
    <w:pPr>
      <w:spacing w:after="150"/>
      <w:ind w:left="-150"/>
    </w:pPr>
  </w:style>
  <w:style w:type="paragraph" w:customStyle="1" w:styleId="glyphicon-chevron-right1">
    <w:name w:val="glyphicon-chevron-right1"/>
    <w:basedOn w:val="a"/>
    <w:pPr>
      <w:spacing w:after="150"/>
      <w:ind w:right="-150"/>
    </w:pPr>
  </w:style>
  <w:style w:type="paragraph" w:customStyle="1" w:styleId="icon-next1">
    <w:name w:val="icon-next1"/>
    <w:basedOn w:val="a"/>
    <w:pPr>
      <w:spacing w:after="150"/>
      <w:ind w:right="-150"/>
    </w:pPr>
  </w:style>
  <w:style w:type="paragraph" w:customStyle="1" w:styleId="active1">
    <w:name w:val="active1"/>
    <w:basedOn w:val="a"/>
    <w:pPr>
      <w:shd w:val="clear" w:color="auto" w:fill="FFFFFF"/>
    </w:pPr>
  </w:style>
  <w:style w:type="paragraph" w:customStyle="1" w:styleId="btn1">
    <w:name w:val="btn1"/>
    <w:basedOn w:val="a"/>
    <w:pPr>
      <w:jc w:val="center"/>
      <w:textAlignment w:val="center"/>
    </w:pPr>
    <w:rPr>
      <w:sz w:val="21"/>
      <w:szCs w:val="21"/>
    </w:rPr>
  </w:style>
  <w:style w:type="paragraph" w:customStyle="1" w:styleId="formheader">
    <w:name w:val="form_header"/>
    <w:basedOn w:val="a"/>
    <w:pPr>
      <w:spacing w:after="150"/>
      <w:jc w:val="center"/>
    </w:pPr>
  </w:style>
  <w:style w:type="paragraph" w:customStyle="1" w:styleId="small13">
    <w:name w:val="small13"/>
    <w:basedOn w:val="a"/>
    <w:pPr>
      <w:spacing w:after="150"/>
    </w:pPr>
    <w:rPr>
      <w:color w:val="777777"/>
      <w:sz w:val="16"/>
      <w:szCs w:val="16"/>
    </w:rPr>
  </w:style>
  <w:style w:type="paragraph" w:customStyle="1" w:styleId="small14">
    <w:name w:val="small14"/>
    <w:basedOn w:val="a"/>
    <w:pPr>
      <w:spacing w:after="150"/>
    </w:pPr>
    <w:rPr>
      <w:color w:val="777777"/>
      <w:sz w:val="16"/>
      <w:szCs w:val="16"/>
    </w:rPr>
  </w:style>
  <w:style w:type="paragraph" w:customStyle="1" w:styleId="small15">
    <w:name w:val="small15"/>
    <w:basedOn w:val="a"/>
    <w:pPr>
      <w:spacing w:after="150"/>
    </w:pPr>
    <w:rPr>
      <w:color w:val="777777"/>
      <w:sz w:val="16"/>
      <w:szCs w:val="16"/>
    </w:rPr>
  </w:style>
  <w:style w:type="paragraph" w:customStyle="1" w:styleId="small16">
    <w:name w:val="small16"/>
    <w:basedOn w:val="a"/>
    <w:pPr>
      <w:spacing w:after="150"/>
    </w:pPr>
    <w:rPr>
      <w:color w:val="777777"/>
      <w:sz w:val="18"/>
      <w:szCs w:val="18"/>
    </w:rPr>
  </w:style>
  <w:style w:type="paragraph" w:customStyle="1" w:styleId="small17">
    <w:name w:val="small17"/>
    <w:basedOn w:val="a"/>
    <w:pPr>
      <w:spacing w:after="150"/>
    </w:pPr>
    <w:rPr>
      <w:color w:val="777777"/>
      <w:sz w:val="18"/>
      <w:szCs w:val="18"/>
    </w:rPr>
  </w:style>
  <w:style w:type="paragraph" w:customStyle="1" w:styleId="small18">
    <w:name w:val="small18"/>
    <w:basedOn w:val="a"/>
    <w:pPr>
      <w:spacing w:after="150"/>
    </w:pPr>
    <w:rPr>
      <w:color w:val="777777"/>
      <w:sz w:val="18"/>
      <w:szCs w:val="18"/>
    </w:rPr>
  </w:style>
  <w:style w:type="paragraph" w:customStyle="1" w:styleId="small19">
    <w:name w:val="small19"/>
    <w:basedOn w:val="a"/>
    <w:pPr>
      <w:spacing w:after="150"/>
    </w:pPr>
    <w:rPr>
      <w:color w:val="777777"/>
      <w:sz w:val="16"/>
      <w:szCs w:val="16"/>
    </w:rPr>
  </w:style>
  <w:style w:type="paragraph" w:customStyle="1" w:styleId="small20">
    <w:name w:val="small20"/>
    <w:basedOn w:val="a"/>
    <w:pPr>
      <w:spacing w:after="150"/>
    </w:pPr>
    <w:rPr>
      <w:color w:val="777777"/>
      <w:sz w:val="16"/>
      <w:szCs w:val="16"/>
    </w:rPr>
  </w:style>
  <w:style w:type="paragraph" w:customStyle="1" w:styleId="small21">
    <w:name w:val="small21"/>
    <w:basedOn w:val="a"/>
    <w:pPr>
      <w:spacing w:after="150"/>
    </w:pPr>
    <w:rPr>
      <w:color w:val="777777"/>
      <w:sz w:val="16"/>
      <w:szCs w:val="16"/>
    </w:rPr>
  </w:style>
  <w:style w:type="paragraph" w:customStyle="1" w:styleId="small22">
    <w:name w:val="small22"/>
    <w:basedOn w:val="a"/>
    <w:pPr>
      <w:spacing w:after="150"/>
    </w:pPr>
    <w:rPr>
      <w:color w:val="777777"/>
      <w:sz w:val="18"/>
      <w:szCs w:val="18"/>
    </w:rPr>
  </w:style>
  <w:style w:type="paragraph" w:customStyle="1" w:styleId="small23">
    <w:name w:val="small23"/>
    <w:basedOn w:val="a"/>
    <w:pPr>
      <w:spacing w:after="150"/>
    </w:pPr>
    <w:rPr>
      <w:color w:val="777777"/>
      <w:sz w:val="18"/>
      <w:szCs w:val="18"/>
    </w:rPr>
  </w:style>
  <w:style w:type="paragraph" w:customStyle="1" w:styleId="small24">
    <w:name w:val="small24"/>
    <w:basedOn w:val="a"/>
    <w:pPr>
      <w:spacing w:after="150"/>
    </w:pPr>
    <w:rPr>
      <w:color w:val="777777"/>
      <w:sz w:val="18"/>
      <w:szCs w:val="18"/>
    </w:rPr>
  </w:style>
  <w:style w:type="paragraph" w:customStyle="1" w:styleId="table2">
    <w:name w:val="table2"/>
    <w:basedOn w:val="a"/>
    <w:pPr>
      <w:shd w:val="clear" w:color="auto" w:fill="FFFFFF"/>
      <w:spacing w:after="300"/>
    </w:pPr>
  </w:style>
  <w:style w:type="paragraph" w:customStyle="1" w:styleId="form-control10">
    <w:name w:val="form-control10"/>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18"/>
      <w:szCs w:val="18"/>
    </w:rPr>
  </w:style>
  <w:style w:type="paragraph" w:customStyle="1" w:styleId="form-control11">
    <w:name w:val="form-control11"/>
    <w:basedOn w:val="a"/>
    <w:pPr>
      <w:pBdr>
        <w:top w:val="single" w:sz="6" w:space="5" w:color="CCCCCC"/>
        <w:left w:val="single" w:sz="6" w:space="9" w:color="CCCCCC"/>
        <w:bottom w:val="single" w:sz="6" w:space="5" w:color="CCCCCC"/>
        <w:right w:val="single" w:sz="6" w:space="9" w:color="CCCCCC"/>
      </w:pBdr>
      <w:shd w:val="clear" w:color="auto" w:fill="FFFFFF"/>
      <w:spacing w:after="150" w:line="450" w:lineRule="atLeast"/>
    </w:pPr>
    <w:rPr>
      <w:color w:val="555555"/>
      <w:sz w:val="18"/>
      <w:szCs w:val="18"/>
    </w:rPr>
  </w:style>
  <w:style w:type="paragraph" w:customStyle="1" w:styleId="form-control-static3">
    <w:name w:val="form-control-static3"/>
    <w:basedOn w:val="a"/>
    <w:rPr>
      <w:sz w:val="18"/>
      <w:szCs w:val="18"/>
    </w:rPr>
  </w:style>
  <w:style w:type="paragraph" w:customStyle="1" w:styleId="form-control12">
    <w:name w:val="form-control12"/>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7"/>
      <w:szCs w:val="27"/>
    </w:rPr>
  </w:style>
  <w:style w:type="paragraph" w:customStyle="1" w:styleId="form-control13">
    <w:name w:val="form-control13"/>
    <w:basedOn w:val="a"/>
    <w:pPr>
      <w:pBdr>
        <w:top w:val="single" w:sz="6" w:space="5" w:color="CCCCCC"/>
        <w:left w:val="single" w:sz="6" w:space="9" w:color="CCCCCC"/>
        <w:bottom w:val="single" w:sz="6" w:space="5" w:color="CCCCCC"/>
        <w:right w:val="single" w:sz="6" w:space="9" w:color="CCCCCC"/>
      </w:pBdr>
      <w:shd w:val="clear" w:color="auto" w:fill="FFFFFF"/>
      <w:spacing w:after="150" w:line="690" w:lineRule="atLeast"/>
    </w:pPr>
    <w:rPr>
      <w:color w:val="555555"/>
      <w:sz w:val="27"/>
      <w:szCs w:val="27"/>
    </w:rPr>
  </w:style>
  <w:style w:type="paragraph" w:customStyle="1" w:styleId="form-control-static4">
    <w:name w:val="form-control-static4"/>
    <w:basedOn w:val="a"/>
    <w:rPr>
      <w:sz w:val="27"/>
      <w:szCs w:val="27"/>
    </w:rPr>
  </w:style>
  <w:style w:type="paragraph" w:customStyle="1" w:styleId="form-control14">
    <w:name w:val="form-control14"/>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15">
    <w:name w:val="form-control15"/>
    <w:basedOn w:val="a"/>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4">
    <w:name w:val="input-group-addon4"/>
    <w:basedOn w:val="a"/>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4">
    <w:name w:val="form-control-feedback4"/>
    <w:basedOn w:val="a"/>
    <w:pPr>
      <w:spacing w:after="150" w:line="510" w:lineRule="atLeast"/>
      <w:jc w:val="center"/>
    </w:pPr>
    <w:rPr>
      <w:color w:val="3C763D"/>
    </w:rPr>
  </w:style>
  <w:style w:type="paragraph" w:customStyle="1" w:styleId="form-control16">
    <w:name w:val="form-control16"/>
    <w:basedOn w:val="a"/>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5">
    <w:name w:val="input-group-addon5"/>
    <w:basedOn w:val="a"/>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5">
    <w:name w:val="form-control-feedback5"/>
    <w:basedOn w:val="a"/>
    <w:pPr>
      <w:spacing w:after="150" w:line="510" w:lineRule="atLeast"/>
      <w:jc w:val="center"/>
    </w:pPr>
    <w:rPr>
      <w:color w:val="8A6D3B"/>
    </w:rPr>
  </w:style>
  <w:style w:type="paragraph" w:customStyle="1" w:styleId="form-control17">
    <w:name w:val="form-control17"/>
    <w:basedOn w:val="a"/>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6">
    <w:name w:val="input-group-addon6"/>
    <w:basedOn w:val="a"/>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6">
    <w:name w:val="form-control-feedback6"/>
    <w:basedOn w:val="a"/>
    <w:pPr>
      <w:spacing w:after="150" w:line="510" w:lineRule="atLeast"/>
      <w:jc w:val="center"/>
    </w:pPr>
    <w:rPr>
      <w:color w:val="A94442"/>
    </w:rPr>
  </w:style>
  <w:style w:type="paragraph" w:customStyle="1" w:styleId="checkbox2">
    <w:name w:val="checkbox2"/>
    <w:basedOn w:val="a"/>
  </w:style>
  <w:style w:type="paragraph" w:customStyle="1" w:styleId="checkbox-inline2">
    <w:name w:val="checkbox-inline2"/>
    <w:basedOn w:val="a"/>
    <w:pPr>
      <w:textAlignment w:val="center"/>
    </w:pPr>
  </w:style>
  <w:style w:type="paragraph" w:customStyle="1" w:styleId="radio2">
    <w:name w:val="radio2"/>
    <w:basedOn w:val="a"/>
  </w:style>
  <w:style w:type="paragraph" w:customStyle="1" w:styleId="radio-inline2">
    <w:name w:val="radio-inline2"/>
    <w:basedOn w:val="a"/>
    <w:pPr>
      <w:textAlignment w:val="center"/>
    </w:pPr>
  </w:style>
  <w:style w:type="paragraph" w:customStyle="1" w:styleId="form-group2">
    <w:name w:val="form-group2"/>
    <w:basedOn w:val="a"/>
    <w:pPr>
      <w:spacing w:after="225"/>
      <w:ind w:left="-225" w:right="-225"/>
    </w:pPr>
  </w:style>
  <w:style w:type="paragraph" w:customStyle="1" w:styleId="badge7">
    <w:name w:val="badge7"/>
    <w:basedOn w:val="a"/>
    <w:pPr>
      <w:shd w:val="clear" w:color="auto" w:fill="333333"/>
      <w:spacing w:after="150"/>
      <w:jc w:val="center"/>
      <w:textAlignment w:val="baseline"/>
    </w:pPr>
    <w:rPr>
      <w:b/>
      <w:bCs/>
      <w:color w:val="FFFFFF"/>
      <w:sz w:val="18"/>
      <w:szCs w:val="18"/>
    </w:rPr>
  </w:style>
  <w:style w:type="paragraph" w:customStyle="1" w:styleId="badge8">
    <w:name w:val="badge8"/>
    <w:basedOn w:val="a"/>
    <w:pPr>
      <w:shd w:val="clear" w:color="auto" w:fill="FFFFFF"/>
      <w:spacing w:after="150"/>
      <w:jc w:val="center"/>
      <w:textAlignment w:val="baseline"/>
    </w:pPr>
    <w:rPr>
      <w:b/>
      <w:bCs/>
      <w:color w:val="337AB7"/>
      <w:sz w:val="18"/>
      <w:szCs w:val="18"/>
    </w:rPr>
  </w:style>
  <w:style w:type="paragraph" w:customStyle="1" w:styleId="badge9">
    <w:name w:val="badge9"/>
    <w:basedOn w:val="a"/>
    <w:pPr>
      <w:shd w:val="clear" w:color="auto" w:fill="FFFFFF"/>
      <w:spacing w:after="150"/>
      <w:jc w:val="center"/>
      <w:textAlignment w:val="baseline"/>
    </w:pPr>
    <w:rPr>
      <w:b/>
      <w:bCs/>
      <w:color w:val="5CB85C"/>
      <w:sz w:val="18"/>
      <w:szCs w:val="18"/>
    </w:rPr>
  </w:style>
  <w:style w:type="paragraph" w:customStyle="1" w:styleId="badge10">
    <w:name w:val="badge10"/>
    <w:basedOn w:val="a"/>
    <w:pPr>
      <w:shd w:val="clear" w:color="auto" w:fill="FFFFFF"/>
      <w:spacing w:after="150"/>
      <w:jc w:val="center"/>
      <w:textAlignment w:val="baseline"/>
    </w:pPr>
    <w:rPr>
      <w:b/>
      <w:bCs/>
      <w:color w:val="5BC0DE"/>
      <w:sz w:val="18"/>
      <w:szCs w:val="18"/>
    </w:rPr>
  </w:style>
  <w:style w:type="paragraph" w:customStyle="1" w:styleId="badge11">
    <w:name w:val="badge11"/>
    <w:basedOn w:val="a"/>
    <w:pPr>
      <w:shd w:val="clear" w:color="auto" w:fill="FFFFFF"/>
      <w:spacing w:after="150"/>
      <w:jc w:val="center"/>
      <w:textAlignment w:val="baseline"/>
    </w:pPr>
    <w:rPr>
      <w:b/>
      <w:bCs/>
      <w:color w:val="F0AD4E"/>
      <w:sz w:val="18"/>
      <w:szCs w:val="18"/>
    </w:rPr>
  </w:style>
  <w:style w:type="paragraph" w:customStyle="1" w:styleId="badge12">
    <w:name w:val="badge12"/>
    <w:basedOn w:val="a"/>
    <w:pPr>
      <w:shd w:val="clear" w:color="auto" w:fill="FFFFFF"/>
      <w:spacing w:after="150"/>
      <w:jc w:val="center"/>
      <w:textAlignment w:val="baseline"/>
    </w:pPr>
    <w:rPr>
      <w:b/>
      <w:bCs/>
      <w:color w:val="D9534F"/>
      <w:sz w:val="18"/>
      <w:szCs w:val="18"/>
    </w:rPr>
  </w:style>
  <w:style w:type="paragraph" w:customStyle="1" w:styleId="divider2">
    <w:name w:val="divider2"/>
    <w:basedOn w:val="a"/>
    <w:pPr>
      <w:shd w:val="clear" w:color="auto" w:fill="E5E5E5"/>
      <w:spacing w:before="135" w:after="135"/>
    </w:pPr>
  </w:style>
  <w:style w:type="paragraph" w:customStyle="1" w:styleId="caret6">
    <w:name w:val="caret6"/>
    <w:basedOn w:val="a"/>
    <w:pPr>
      <w:pBdr>
        <w:bottom w:val="single" w:sz="24" w:space="0" w:color="auto"/>
      </w:pBdr>
      <w:spacing w:after="150"/>
      <w:ind w:left="30"/>
      <w:textAlignment w:val="center"/>
    </w:pPr>
  </w:style>
  <w:style w:type="paragraph" w:customStyle="1" w:styleId="caret7">
    <w:name w:val="caret7"/>
    <w:basedOn w:val="a"/>
    <w:pPr>
      <w:pBdr>
        <w:bottom w:val="single" w:sz="24" w:space="0" w:color="auto"/>
      </w:pBdr>
      <w:spacing w:after="150"/>
      <w:ind w:left="30"/>
      <w:textAlignment w:val="center"/>
    </w:pPr>
  </w:style>
  <w:style w:type="paragraph" w:customStyle="1" w:styleId="dropdown-menu4">
    <w:name w:val="dropdown-menu4"/>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dropdown-menu5">
    <w:name w:val="dropdown-menu5"/>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caret8">
    <w:name w:val="caret8"/>
    <w:basedOn w:val="a"/>
    <w:pPr>
      <w:pBdr>
        <w:top w:val="dashed" w:sz="24" w:space="0" w:color="auto"/>
      </w:pBdr>
      <w:spacing w:after="150"/>
      <w:textAlignment w:val="center"/>
    </w:pPr>
  </w:style>
  <w:style w:type="paragraph" w:customStyle="1" w:styleId="caret9">
    <w:name w:val="caret9"/>
    <w:basedOn w:val="a"/>
    <w:pPr>
      <w:pBdr>
        <w:top w:val="dashed" w:sz="36" w:space="0" w:color="auto"/>
      </w:pBdr>
      <w:spacing w:after="150"/>
      <w:ind w:left="30"/>
      <w:textAlignment w:val="center"/>
    </w:pPr>
  </w:style>
  <w:style w:type="paragraph" w:customStyle="1" w:styleId="caret10">
    <w:name w:val="caret10"/>
    <w:basedOn w:val="a"/>
    <w:pPr>
      <w:pBdr>
        <w:bottom w:val="single" w:sz="36" w:space="0" w:color="auto"/>
      </w:pBdr>
      <w:spacing w:after="150"/>
      <w:ind w:left="30"/>
      <w:textAlignment w:val="center"/>
    </w:pPr>
  </w:style>
  <w:style w:type="paragraph" w:customStyle="1" w:styleId="form-control18">
    <w:name w:val="form-control18"/>
    <w:basedOn w:val="a"/>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2">
    <w:name w:val="nav-divider2"/>
    <w:basedOn w:val="a"/>
    <w:pPr>
      <w:shd w:val="clear" w:color="auto" w:fill="E5E5E5"/>
      <w:spacing w:before="135" w:after="135"/>
    </w:pPr>
  </w:style>
  <w:style w:type="paragraph" w:customStyle="1" w:styleId="dropdown-menu6">
    <w:name w:val="dropdown-menu6"/>
    <w:basedOn w:val="a"/>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4">
    <w:name w:val="icon-bar4"/>
    <w:basedOn w:val="a"/>
    <w:pPr>
      <w:spacing w:after="150"/>
    </w:pPr>
  </w:style>
  <w:style w:type="paragraph" w:customStyle="1" w:styleId="navbar-brand3">
    <w:name w:val="navbar-brand3"/>
    <w:basedOn w:val="a"/>
    <w:pPr>
      <w:spacing w:after="150" w:line="300" w:lineRule="atLeast"/>
    </w:pPr>
    <w:rPr>
      <w:color w:val="777777"/>
      <w:sz w:val="27"/>
      <w:szCs w:val="27"/>
    </w:rPr>
  </w:style>
  <w:style w:type="paragraph" w:customStyle="1" w:styleId="navbar-text3">
    <w:name w:val="navbar-text3"/>
    <w:basedOn w:val="a"/>
    <w:pPr>
      <w:spacing w:before="225" w:after="225"/>
    </w:pPr>
    <w:rPr>
      <w:color w:val="777777"/>
    </w:rPr>
  </w:style>
  <w:style w:type="paragraph" w:customStyle="1" w:styleId="navbar-navlia3">
    <w:name w:val="navbar-nav&gt;li&gt;a3"/>
    <w:basedOn w:val="a"/>
    <w:pPr>
      <w:spacing w:after="150" w:line="300" w:lineRule="atLeast"/>
    </w:pPr>
    <w:rPr>
      <w:color w:val="777777"/>
    </w:rPr>
  </w:style>
  <w:style w:type="paragraph" w:customStyle="1" w:styleId="navbar-toggle3">
    <w:name w:val="navbar-toggle3"/>
    <w:basedOn w:val="a"/>
    <w:pPr>
      <w:spacing w:before="120" w:after="120"/>
      <w:ind w:right="225"/>
    </w:pPr>
  </w:style>
  <w:style w:type="paragraph" w:customStyle="1" w:styleId="icon-bar5">
    <w:name w:val="icon-bar5"/>
    <w:basedOn w:val="a"/>
    <w:pPr>
      <w:shd w:val="clear" w:color="auto" w:fill="888888"/>
      <w:spacing w:after="150"/>
    </w:pPr>
  </w:style>
  <w:style w:type="paragraph" w:customStyle="1" w:styleId="navbar-collapse3">
    <w:name w:val="navbar-collapse3"/>
    <w:basedOn w:val="a"/>
    <w:pPr>
      <w:spacing w:after="150"/>
    </w:pPr>
  </w:style>
  <w:style w:type="paragraph" w:customStyle="1" w:styleId="navbar-form3">
    <w:name w:val="navbar-form3"/>
    <w:basedOn w:val="a"/>
    <w:pPr>
      <w:spacing w:before="120" w:after="120"/>
      <w:ind w:left="-225" w:right="-225"/>
    </w:pPr>
  </w:style>
  <w:style w:type="paragraph" w:customStyle="1" w:styleId="navbar-link5">
    <w:name w:val="navbar-link5"/>
    <w:basedOn w:val="a"/>
    <w:pPr>
      <w:spacing w:after="150"/>
    </w:pPr>
    <w:rPr>
      <w:color w:val="777777"/>
    </w:rPr>
  </w:style>
  <w:style w:type="paragraph" w:customStyle="1" w:styleId="navbar-link6">
    <w:name w:val="navbar-link6"/>
    <w:basedOn w:val="a"/>
    <w:pPr>
      <w:spacing w:after="150"/>
    </w:pPr>
    <w:rPr>
      <w:color w:val="333333"/>
    </w:rPr>
  </w:style>
  <w:style w:type="paragraph" w:customStyle="1" w:styleId="btn-link3">
    <w:name w:val="btn-link3"/>
    <w:basedOn w:val="a"/>
    <w:pPr>
      <w:spacing w:after="150"/>
    </w:pPr>
    <w:rPr>
      <w:color w:val="777777"/>
    </w:rPr>
  </w:style>
  <w:style w:type="paragraph" w:customStyle="1" w:styleId="navbar-brand4">
    <w:name w:val="navbar-brand4"/>
    <w:basedOn w:val="a"/>
    <w:pPr>
      <w:spacing w:after="150" w:line="300" w:lineRule="atLeast"/>
    </w:pPr>
    <w:rPr>
      <w:color w:val="9D9D9D"/>
      <w:sz w:val="27"/>
      <w:szCs w:val="27"/>
    </w:rPr>
  </w:style>
  <w:style w:type="paragraph" w:customStyle="1" w:styleId="navbar-text4">
    <w:name w:val="navbar-text4"/>
    <w:basedOn w:val="a"/>
    <w:pPr>
      <w:spacing w:before="225" w:after="225"/>
    </w:pPr>
    <w:rPr>
      <w:color w:val="9D9D9D"/>
    </w:rPr>
  </w:style>
  <w:style w:type="paragraph" w:customStyle="1" w:styleId="navbar-navlia4">
    <w:name w:val="navbar-nav&gt;li&gt;a4"/>
    <w:basedOn w:val="a"/>
    <w:pPr>
      <w:spacing w:after="150" w:line="300" w:lineRule="atLeast"/>
    </w:pPr>
    <w:rPr>
      <w:color w:val="9D9D9D"/>
    </w:rPr>
  </w:style>
  <w:style w:type="paragraph" w:customStyle="1" w:styleId="navbar-toggle4">
    <w:name w:val="navbar-toggle4"/>
    <w:basedOn w:val="a"/>
    <w:pPr>
      <w:spacing w:before="120" w:after="120"/>
      <w:ind w:right="225"/>
    </w:pPr>
  </w:style>
  <w:style w:type="paragraph" w:customStyle="1" w:styleId="icon-bar6">
    <w:name w:val="icon-bar6"/>
    <w:basedOn w:val="a"/>
    <w:pPr>
      <w:shd w:val="clear" w:color="auto" w:fill="FFFFFF"/>
      <w:spacing w:after="150"/>
    </w:pPr>
  </w:style>
  <w:style w:type="paragraph" w:customStyle="1" w:styleId="navbar-collapse4">
    <w:name w:val="navbar-collapse4"/>
    <w:basedOn w:val="a"/>
    <w:pPr>
      <w:spacing w:after="150"/>
    </w:pPr>
  </w:style>
  <w:style w:type="paragraph" w:customStyle="1" w:styleId="navbar-form4">
    <w:name w:val="navbar-form4"/>
    <w:basedOn w:val="a"/>
    <w:pPr>
      <w:spacing w:before="120" w:after="120"/>
      <w:ind w:left="-225" w:right="-225"/>
    </w:pPr>
  </w:style>
  <w:style w:type="paragraph" w:customStyle="1" w:styleId="navbar-link7">
    <w:name w:val="navbar-link7"/>
    <w:basedOn w:val="a"/>
    <w:pPr>
      <w:spacing w:after="150"/>
    </w:pPr>
    <w:rPr>
      <w:color w:val="9D9D9D"/>
    </w:rPr>
  </w:style>
  <w:style w:type="paragraph" w:customStyle="1" w:styleId="navbar-link8">
    <w:name w:val="navbar-link8"/>
    <w:basedOn w:val="a"/>
    <w:pPr>
      <w:spacing w:after="150"/>
    </w:pPr>
    <w:rPr>
      <w:color w:val="FFFFFF"/>
    </w:rPr>
  </w:style>
  <w:style w:type="paragraph" w:customStyle="1" w:styleId="btn-link4">
    <w:name w:val="btn-link4"/>
    <w:basedOn w:val="a"/>
    <w:pPr>
      <w:spacing w:after="150"/>
    </w:pPr>
    <w:rPr>
      <w:color w:val="9D9D9D"/>
    </w:rPr>
  </w:style>
  <w:style w:type="paragraph" w:customStyle="1" w:styleId="caption2">
    <w:name w:val="caption2"/>
    <w:basedOn w:val="a"/>
    <w:pPr>
      <w:spacing w:after="150"/>
    </w:pPr>
    <w:rPr>
      <w:color w:val="333333"/>
    </w:rPr>
  </w:style>
  <w:style w:type="paragraph" w:customStyle="1" w:styleId="alert-link6">
    <w:name w:val="alert-link6"/>
    <w:basedOn w:val="a"/>
    <w:pPr>
      <w:spacing w:after="150"/>
    </w:pPr>
    <w:rPr>
      <w:b/>
      <w:bCs/>
    </w:rPr>
  </w:style>
  <w:style w:type="paragraph" w:customStyle="1" w:styleId="alert-link7">
    <w:name w:val="alert-link7"/>
    <w:basedOn w:val="a"/>
    <w:pPr>
      <w:spacing w:after="150"/>
    </w:pPr>
    <w:rPr>
      <w:color w:val="2B542C"/>
    </w:rPr>
  </w:style>
  <w:style w:type="paragraph" w:customStyle="1" w:styleId="alert-link8">
    <w:name w:val="alert-link8"/>
    <w:basedOn w:val="a"/>
    <w:pPr>
      <w:spacing w:after="150"/>
    </w:pPr>
    <w:rPr>
      <w:color w:val="245269"/>
    </w:rPr>
  </w:style>
  <w:style w:type="paragraph" w:customStyle="1" w:styleId="alert-link9">
    <w:name w:val="alert-link9"/>
    <w:basedOn w:val="a"/>
    <w:pPr>
      <w:spacing w:after="150"/>
    </w:pPr>
    <w:rPr>
      <w:color w:val="66512C"/>
    </w:rPr>
  </w:style>
  <w:style w:type="paragraph" w:customStyle="1" w:styleId="alert-link10">
    <w:name w:val="alert-link10"/>
    <w:basedOn w:val="a"/>
    <w:pPr>
      <w:spacing w:after="150"/>
    </w:pPr>
    <w:rPr>
      <w:color w:val="843534"/>
    </w:rPr>
  </w:style>
  <w:style w:type="paragraph" w:customStyle="1" w:styleId="list-group-item-heading2">
    <w:name w:val="list-group-item-heading2"/>
    <w:basedOn w:val="a"/>
    <w:pPr>
      <w:spacing w:after="75"/>
    </w:pPr>
    <w:rPr>
      <w:color w:val="333333"/>
    </w:rPr>
  </w:style>
  <w:style w:type="paragraph" w:customStyle="1" w:styleId="panel2">
    <w:name w:val="panel2"/>
    <w:basedOn w:val="a"/>
    <w:pPr>
      <w:shd w:val="clear" w:color="auto" w:fill="FFFFFF"/>
    </w:pPr>
  </w:style>
  <w:style w:type="paragraph" w:customStyle="1" w:styleId="panel-heading2">
    <w:name w:val="panel-heading2"/>
    <w:basedOn w:val="a"/>
    <w:pPr>
      <w:spacing w:after="150"/>
    </w:pPr>
  </w:style>
  <w:style w:type="paragraph" w:customStyle="1" w:styleId="panel-footer2">
    <w:name w:val="panel-footer2"/>
    <w:basedOn w:val="a"/>
    <w:pPr>
      <w:shd w:val="clear" w:color="auto" w:fill="F5F5F5"/>
      <w:spacing w:after="150"/>
    </w:pPr>
  </w:style>
  <w:style w:type="paragraph" w:customStyle="1" w:styleId="close2">
    <w:name w:val="close2"/>
    <w:basedOn w:val="a"/>
    <w:pPr>
      <w:spacing w:after="150"/>
    </w:pPr>
    <w:rPr>
      <w:b/>
      <w:bCs/>
      <w:color w:val="000000"/>
      <w:sz w:val="32"/>
      <w:szCs w:val="32"/>
    </w:rPr>
  </w:style>
  <w:style w:type="paragraph" w:customStyle="1" w:styleId="glyphicon-chevron-left2">
    <w:name w:val="glyphicon-chevron-left2"/>
    <w:basedOn w:val="a"/>
    <w:pPr>
      <w:spacing w:after="150"/>
      <w:ind w:left="-150"/>
    </w:pPr>
  </w:style>
  <w:style w:type="paragraph" w:customStyle="1" w:styleId="icon-prev2">
    <w:name w:val="icon-prev2"/>
    <w:basedOn w:val="a"/>
    <w:pPr>
      <w:spacing w:after="150"/>
      <w:ind w:left="-150"/>
    </w:pPr>
  </w:style>
  <w:style w:type="paragraph" w:customStyle="1" w:styleId="glyphicon-chevron-right2">
    <w:name w:val="glyphicon-chevron-right2"/>
    <w:basedOn w:val="a"/>
    <w:pPr>
      <w:spacing w:after="150"/>
      <w:ind w:right="-150"/>
    </w:pPr>
  </w:style>
  <w:style w:type="paragraph" w:customStyle="1" w:styleId="icon-next2">
    <w:name w:val="icon-next2"/>
    <w:basedOn w:val="a"/>
    <w:pPr>
      <w:spacing w:after="150"/>
      <w:ind w:right="-150"/>
    </w:pPr>
  </w:style>
  <w:style w:type="paragraph" w:customStyle="1" w:styleId="active2">
    <w:name w:val="active2"/>
    <w:basedOn w:val="a"/>
    <w:pPr>
      <w:shd w:val="clear" w:color="auto" w:fill="FFFFFF"/>
    </w:pPr>
  </w:style>
  <w:style w:type="paragraph" w:customStyle="1" w:styleId="btn2">
    <w:name w:val="btn2"/>
    <w:basedOn w:val="a"/>
    <w:pPr>
      <w:jc w:val="center"/>
      <w:textAlignment w:val="center"/>
    </w:pPr>
    <w:rPr>
      <w:sz w:val="21"/>
      <w:szCs w:val="21"/>
    </w:rPr>
  </w:style>
  <w:style w:type="paragraph" w:styleId="a7">
    <w:name w:val="Balloon Text"/>
    <w:basedOn w:val="a"/>
    <w:link w:val="a8"/>
    <w:uiPriority w:val="99"/>
    <w:semiHidden/>
    <w:unhideWhenUsed/>
    <w:rsid w:val="00617D43"/>
    <w:rPr>
      <w:rFonts w:ascii="Tahoma" w:hAnsi="Tahoma" w:cs="Tahoma"/>
      <w:sz w:val="16"/>
      <w:szCs w:val="16"/>
    </w:rPr>
  </w:style>
  <w:style w:type="character" w:customStyle="1" w:styleId="a8">
    <w:name w:val="Текст выноски Знак"/>
    <w:basedOn w:val="a0"/>
    <w:link w:val="a7"/>
    <w:uiPriority w:val="99"/>
    <w:semiHidden/>
    <w:rsid w:val="00617D43"/>
    <w:rPr>
      <w:rFonts w:ascii="Tahoma" w:eastAsiaTheme="minorEastAsia" w:hAnsi="Tahoma" w:cs="Tahoma"/>
      <w:sz w:val="16"/>
      <w:szCs w:val="16"/>
    </w:rPr>
  </w:style>
  <w:style w:type="paragraph" w:customStyle="1" w:styleId="StyleBoldJustifiedFirstline095cm">
    <w:name w:val="Style Bold Justified First line:  095 cm"/>
    <w:basedOn w:val="a"/>
    <w:rsid w:val="00617D43"/>
    <w:pPr>
      <w:spacing w:before="240"/>
      <w:ind w:firstLine="539"/>
      <w:jc w:val="both"/>
    </w:pPr>
    <w:rPr>
      <w:rFonts w:eastAsia="Times New Roman"/>
      <w:b/>
      <w:bCs/>
      <w:szCs w:val="20"/>
    </w:rPr>
  </w:style>
  <w:style w:type="paragraph" w:styleId="a9">
    <w:name w:val="header"/>
    <w:basedOn w:val="a"/>
    <w:link w:val="aa"/>
    <w:uiPriority w:val="99"/>
    <w:unhideWhenUsed/>
    <w:rsid w:val="00F01452"/>
    <w:pPr>
      <w:tabs>
        <w:tab w:val="center" w:pos="4677"/>
        <w:tab w:val="right" w:pos="9355"/>
      </w:tabs>
    </w:pPr>
  </w:style>
  <w:style w:type="character" w:customStyle="1" w:styleId="aa">
    <w:name w:val="Верхний колонтитул Знак"/>
    <w:basedOn w:val="a0"/>
    <w:link w:val="a9"/>
    <w:uiPriority w:val="99"/>
    <w:rsid w:val="00F01452"/>
    <w:rPr>
      <w:rFonts w:eastAsiaTheme="minorEastAsia"/>
      <w:sz w:val="22"/>
      <w:szCs w:val="24"/>
    </w:rPr>
  </w:style>
  <w:style w:type="paragraph" w:styleId="ab">
    <w:name w:val="footer"/>
    <w:basedOn w:val="a"/>
    <w:link w:val="ac"/>
    <w:uiPriority w:val="99"/>
    <w:unhideWhenUsed/>
    <w:rsid w:val="00F01452"/>
    <w:pPr>
      <w:tabs>
        <w:tab w:val="center" w:pos="4677"/>
        <w:tab w:val="right" w:pos="9355"/>
      </w:tabs>
    </w:pPr>
  </w:style>
  <w:style w:type="character" w:customStyle="1" w:styleId="ac">
    <w:name w:val="Нижний колонтитул Знак"/>
    <w:basedOn w:val="a0"/>
    <w:link w:val="ab"/>
    <w:uiPriority w:val="99"/>
    <w:rsid w:val="00F01452"/>
    <w:rPr>
      <w:rFonts w:eastAsiaTheme="minorEastAsia"/>
      <w:sz w:val="22"/>
      <w:szCs w:val="24"/>
    </w:rPr>
  </w:style>
  <w:style w:type="character" w:customStyle="1" w:styleId="Subst">
    <w:name w:val="Subst"/>
    <w:rsid w:val="00744134"/>
    <w:rPr>
      <w:b/>
      <w:i/>
    </w:rPr>
  </w:style>
  <w:style w:type="character" w:styleId="ad">
    <w:name w:val="annotation reference"/>
    <w:basedOn w:val="a0"/>
    <w:uiPriority w:val="99"/>
    <w:semiHidden/>
    <w:unhideWhenUsed/>
    <w:rsid w:val="00AD62D1"/>
    <w:rPr>
      <w:sz w:val="16"/>
      <w:szCs w:val="16"/>
    </w:rPr>
  </w:style>
  <w:style w:type="paragraph" w:styleId="ae">
    <w:name w:val="annotation text"/>
    <w:basedOn w:val="a"/>
    <w:link w:val="af"/>
    <w:uiPriority w:val="99"/>
    <w:semiHidden/>
    <w:unhideWhenUsed/>
    <w:rsid w:val="00AD62D1"/>
    <w:rPr>
      <w:sz w:val="20"/>
      <w:szCs w:val="20"/>
    </w:rPr>
  </w:style>
  <w:style w:type="character" w:customStyle="1" w:styleId="af">
    <w:name w:val="Текст примечания Знак"/>
    <w:basedOn w:val="a0"/>
    <w:link w:val="ae"/>
    <w:uiPriority w:val="99"/>
    <w:semiHidden/>
    <w:rsid w:val="00AD62D1"/>
    <w:rPr>
      <w:rFonts w:eastAsiaTheme="minorEastAsia"/>
    </w:rPr>
  </w:style>
  <w:style w:type="paragraph" w:styleId="af0">
    <w:name w:val="annotation subject"/>
    <w:basedOn w:val="ae"/>
    <w:next w:val="ae"/>
    <w:link w:val="af1"/>
    <w:uiPriority w:val="99"/>
    <w:semiHidden/>
    <w:unhideWhenUsed/>
    <w:rsid w:val="00AD62D1"/>
    <w:rPr>
      <w:b/>
      <w:bCs/>
    </w:rPr>
  </w:style>
  <w:style w:type="character" w:customStyle="1" w:styleId="af1">
    <w:name w:val="Тема примечания Знак"/>
    <w:basedOn w:val="af"/>
    <w:link w:val="af0"/>
    <w:uiPriority w:val="99"/>
    <w:semiHidden/>
    <w:rsid w:val="00AD62D1"/>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13787">
      <w:marLeft w:val="0"/>
      <w:marRight w:val="0"/>
      <w:marTop w:val="600"/>
      <w:marBottom w:val="0"/>
      <w:divBdr>
        <w:top w:val="none" w:sz="0" w:space="0" w:color="auto"/>
        <w:left w:val="none" w:sz="0" w:space="0" w:color="auto"/>
        <w:bottom w:val="none" w:sz="0" w:space="0" w:color="auto"/>
        <w:right w:val="none" w:sz="0" w:space="0" w:color="auto"/>
      </w:divBdr>
    </w:div>
    <w:div w:id="1115252642">
      <w:marLeft w:val="0"/>
      <w:marRight w:val="0"/>
      <w:marTop w:val="0"/>
      <w:marBottom w:val="0"/>
      <w:divBdr>
        <w:top w:val="single" w:sz="6" w:space="0" w:color="000000"/>
        <w:left w:val="none" w:sz="0" w:space="0" w:color="auto"/>
        <w:bottom w:val="none" w:sz="0" w:space="0" w:color="auto"/>
        <w:right w:val="none" w:sz="0" w:space="0" w:color="auto"/>
      </w:divBdr>
      <w:divsChild>
        <w:div w:id="62262775">
          <w:marLeft w:val="0"/>
          <w:marRight w:val="0"/>
          <w:marTop w:val="0"/>
          <w:marBottom w:val="0"/>
          <w:divBdr>
            <w:top w:val="single" w:sz="6" w:space="0" w:color="000000"/>
            <w:left w:val="none" w:sz="0" w:space="0" w:color="auto"/>
            <w:bottom w:val="none" w:sz="0" w:space="0" w:color="auto"/>
            <w:right w:val="none" w:sz="0" w:space="0" w:color="auto"/>
          </w:divBdr>
        </w:div>
      </w:divsChild>
    </w:div>
    <w:div w:id="1309942472">
      <w:marLeft w:val="0"/>
      <w:marRight w:val="0"/>
      <w:marTop w:val="0"/>
      <w:marBottom w:val="0"/>
      <w:divBdr>
        <w:top w:val="single" w:sz="8" w:space="1" w:color="auto"/>
        <w:left w:val="none" w:sz="0" w:space="0" w:color="auto"/>
        <w:bottom w:val="none" w:sz="0" w:space="0" w:color="auto"/>
        <w:right w:val="none" w:sz="0" w:space="0" w:color="auto"/>
      </w:divBdr>
      <w:divsChild>
        <w:div w:id="1059791175">
          <w:marLeft w:val="0"/>
          <w:marRight w:val="0"/>
          <w:marTop w:val="240"/>
          <w:marBottom w:val="0"/>
          <w:divBdr>
            <w:top w:val="none" w:sz="0" w:space="0" w:color="auto"/>
            <w:left w:val="none" w:sz="0" w:space="0" w:color="auto"/>
            <w:bottom w:val="none" w:sz="0" w:space="0" w:color="auto"/>
            <w:right w:val="none" w:sz="0" w:space="0" w:color="auto"/>
          </w:divBdr>
        </w:div>
        <w:div w:id="928999087">
          <w:marLeft w:val="0"/>
          <w:marRight w:val="0"/>
          <w:marTop w:val="240"/>
          <w:marBottom w:val="0"/>
          <w:divBdr>
            <w:top w:val="none" w:sz="0" w:space="0" w:color="auto"/>
            <w:left w:val="none" w:sz="0" w:space="0" w:color="auto"/>
            <w:bottom w:val="none" w:sz="0" w:space="0" w:color="auto"/>
            <w:right w:val="none" w:sz="0" w:space="0" w:color="auto"/>
          </w:divBdr>
        </w:div>
        <w:div w:id="1797603106">
          <w:marLeft w:val="0"/>
          <w:marRight w:val="0"/>
          <w:marTop w:val="240"/>
          <w:marBottom w:val="0"/>
          <w:divBdr>
            <w:top w:val="none" w:sz="0" w:space="0" w:color="auto"/>
            <w:left w:val="none" w:sz="0" w:space="0" w:color="auto"/>
            <w:bottom w:val="none" w:sz="0" w:space="0" w:color="auto"/>
            <w:right w:val="none" w:sz="0" w:space="0" w:color="auto"/>
          </w:divBdr>
        </w:div>
        <w:div w:id="133790298">
          <w:marLeft w:val="0"/>
          <w:marRight w:val="0"/>
          <w:marTop w:val="480"/>
          <w:marBottom w:val="0"/>
          <w:divBdr>
            <w:top w:val="none" w:sz="0" w:space="0" w:color="auto"/>
            <w:left w:val="none" w:sz="0" w:space="0" w:color="auto"/>
            <w:bottom w:val="none" w:sz="0" w:space="0" w:color="auto"/>
            <w:right w:val="none" w:sz="0" w:space="0" w:color="auto"/>
          </w:divBdr>
        </w:div>
        <w:div w:id="1784767205">
          <w:marLeft w:val="0"/>
          <w:marRight w:val="0"/>
          <w:marTop w:val="240"/>
          <w:marBottom w:val="0"/>
          <w:divBdr>
            <w:top w:val="none" w:sz="0" w:space="0" w:color="auto"/>
            <w:left w:val="none" w:sz="0" w:space="0" w:color="auto"/>
            <w:bottom w:val="none" w:sz="0" w:space="0" w:color="auto"/>
            <w:right w:val="none" w:sz="0" w:space="0" w:color="auto"/>
          </w:divBdr>
        </w:div>
        <w:div w:id="1977225192">
          <w:marLeft w:val="0"/>
          <w:marRight w:val="-2"/>
          <w:marTop w:val="0"/>
          <w:marBottom w:val="0"/>
          <w:divBdr>
            <w:top w:val="single" w:sz="8" w:space="1" w:color="auto"/>
            <w:left w:val="none" w:sz="0" w:space="0" w:color="auto"/>
            <w:bottom w:val="none" w:sz="0" w:space="0" w:color="auto"/>
            <w:right w:val="none" w:sz="0" w:space="0" w:color="auto"/>
          </w:divBdr>
          <w:divsChild>
            <w:div w:id="21075309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85506689">
      <w:marLeft w:val="0"/>
      <w:marRight w:val="0"/>
      <w:marTop w:val="120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23867</Words>
  <Characters>136046</Characters>
  <Application>Microsoft Office Word</Application>
  <DocSecurity>0</DocSecurity>
  <Lines>1133</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Подготовлено системой "Личный кабинет эмитента ПАО Московская Биржа"</vt:lpstr>
      <vt:lpstr>Подготовлено системой "Личный кабинет эмитента ПАО Московская Биржа"</vt:lpstr>
    </vt:vector>
  </TitlesOfParts>
  <Company>Sberbank-CIB</Company>
  <LinksUpToDate>false</LinksUpToDate>
  <CharactersWithSpaces>159594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Подготовлено системой "Личный кабинет эмитента ПАО Московская Биржа"</dc:title>
  <dc:creator>jdaminova</dc:creator>
  <cp:lastModifiedBy>Shishkanova</cp:lastModifiedBy>
  <cp:revision>2</cp:revision>
  <dcterms:created xsi:type="dcterms:W3CDTF">2017-12-18T14:04:00Z</dcterms:created>
  <dcterms:modified xsi:type="dcterms:W3CDTF">2017-12-18T14:04:00Z</dcterms:modified>
</cp:coreProperties>
</file>